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F361" w14:textId="0BC21478" w:rsidR="00DC1CD7" w:rsidRDefault="00DC1CD7" w:rsidP="3A537EC3">
      <w:pPr>
        <w:pStyle w:val="Heading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6518">
        <w:fldChar w:fldCharType="begin"/>
      </w:r>
      <w:r w:rsidRPr="003D6518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3D6518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="00335858">
        <w:rPr>
          <w:rFonts w:ascii="Times New Roman" w:hAnsi="Times New Roman" w:cs="Times New Roman"/>
          <w:sz w:val="24"/>
          <w:szCs w:val="24"/>
        </w:rPr>
        <w:t xml:space="preserve">Checklist </w:t>
      </w:r>
      <w:r w:rsidR="00F71930">
        <w:rPr>
          <w:rFonts w:ascii="Times New Roman" w:hAnsi="Times New Roman" w:cs="Times New Roman"/>
          <w:sz w:val="24"/>
          <w:szCs w:val="24"/>
        </w:rPr>
        <w:t>for</w:t>
      </w:r>
      <w:r w:rsidRPr="003D6518">
        <w:rPr>
          <w:rFonts w:ascii="Times New Roman" w:hAnsi="Times New Roman" w:cs="Times New Roman"/>
          <w:sz w:val="24"/>
          <w:szCs w:val="24"/>
        </w:rPr>
        <w:t xml:space="preserve"> </w:t>
      </w:r>
      <w:r w:rsidR="00BB563C">
        <w:rPr>
          <w:rFonts w:ascii="Times New Roman" w:hAnsi="Times New Roman" w:cs="Times New Roman"/>
          <w:sz w:val="24"/>
          <w:szCs w:val="24"/>
        </w:rPr>
        <w:t>Motor Vehicle Emissions Budget Consultation</w:t>
      </w:r>
      <w:r w:rsidR="00B64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DA61C" w14:textId="77777777" w:rsidR="00553A7F" w:rsidRPr="003D6518" w:rsidRDefault="00553A7F" w:rsidP="00553A7F">
      <w:pPr>
        <w:pStyle w:val="Heading3"/>
        <w:pBdr>
          <w:bottom w:val="double" w:sz="6" w:space="1" w:color="auto"/>
        </w:pBdr>
        <w:contextualSpacing/>
        <w:rPr>
          <w:rFonts w:ascii="Times New Roman" w:hAnsi="Times New Roman" w:cs="Times New Roman"/>
          <w:sz w:val="24"/>
          <w:szCs w:val="24"/>
        </w:rPr>
      </w:pPr>
    </w:p>
    <w:p w14:paraId="2D7A39CB" w14:textId="77777777" w:rsidR="00553A7F" w:rsidRDefault="00553A7F" w:rsidP="00553A7F">
      <w:pPr>
        <w:rPr>
          <w:b/>
          <w:bCs/>
          <w:sz w:val="24"/>
          <w:szCs w:val="24"/>
        </w:rPr>
      </w:pPr>
    </w:p>
    <w:p w14:paraId="4507EE5F" w14:textId="779C963E" w:rsidR="00553A7F" w:rsidRPr="00EA1ED4" w:rsidRDefault="3A537EC3" w:rsidP="3A537EC3">
      <w:pPr>
        <w:rPr>
          <w:sz w:val="24"/>
          <w:szCs w:val="24"/>
        </w:rPr>
      </w:pPr>
      <w:r w:rsidRPr="00EA1ED4">
        <w:rPr>
          <w:b/>
          <w:bCs/>
          <w:sz w:val="24"/>
          <w:szCs w:val="24"/>
        </w:rPr>
        <w:t>Date of consultation</w:t>
      </w:r>
      <w:r w:rsidRPr="00EA1ED4">
        <w:rPr>
          <w:sz w:val="24"/>
          <w:szCs w:val="24"/>
        </w:rPr>
        <w:t xml:space="preserve">: </w:t>
      </w:r>
      <w:r w:rsidR="00BF1151" w:rsidRPr="00EA1ED4">
        <w:rPr>
          <w:sz w:val="24"/>
          <w:szCs w:val="24"/>
        </w:rPr>
        <w:t>9</w:t>
      </w:r>
      <w:r w:rsidR="00A2531E" w:rsidRPr="00EA1ED4">
        <w:rPr>
          <w:sz w:val="24"/>
          <w:szCs w:val="24"/>
        </w:rPr>
        <w:t>/</w:t>
      </w:r>
      <w:r w:rsidR="00275996" w:rsidRPr="00EA1ED4">
        <w:rPr>
          <w:sz w:val="24"/>
          <w:szCs w:val="24"/>
        </w:rPr>
        <w:t>2</w:t>
      </w:r>
      <w:r w:rsidR="00BF1151" w:rsidRPr="00EA1ED4">
        <w:rPr>
          <w:sz w:val="24"/>
          <w:szCs w:val="24"/>
        </w:rPr>
        <w:t>5</w:t>
      </w:r>
      <w:r w:rsidR="00A2531E" w:rsidRPr="00EA1ED4">
        <w:rPr>
          <w:sz w:val="24"/>
          <w:szCs w:val="24"/>
        </w:rPr>
        <w:t>/2018</w:t>
      </w:r>
    </w:p>
    <w:p w14:paraId="1A2D9E79" w14:textId="77777777" w:rsidR="00553A7F" w:rsidRPr="00EA1ED4" w:rsidRDefault="00553A7F" w:rsidP="00DC1CD7">
      <w:pPr>
        <w:rPr>
          <w:sz w:val="24"/>
          <w:szCs w:val="24"/>
        </w:rPr>
      </w:pPr>
    </w:p>
    <w:p w14:paraId="63253F7A" w14:textId="17DD32B5" w:rsidR="00BB563C" w:rsidRPr="00EA1ED4" w:rsidRDefault="3A537EC3" w:rsidP="3A537EC3">
      <w:pPr>
        <w:rPr>
          <w:b/>
          <w:bCs/>
          <w:sz w:val="24"/>
          <w:szCs w:val="24"/>
        </w:rPr>
      </w:pPr>
      <w:r w:rsidRPr="00EA1ED4">
        <w:rPr>
          <w:b/>
          <w:bCs/>
          <w:sz w:val="24"/>
          <w:szCs w:val="24"/>
        </w:rPr>
        <w:t xml:space="preserve">Name of nonattainment or maintenance area and classification, if applicable (e.g., moderate, serious, </w:t>
      </w:r>
      <w:proofErr w:type="spellStart"/>
      <w:r w:rsidRPr="00EA1ED4">
        <w:rPr>
          <w:b/>
          <w:bCs/>
          <w:sz w:val="24"/>
          <w:szCs w:val="24"/>
        </w:rPr>
        <w:t>etc</w:t>
      </w:r>
      <w:proofErr w:type="spellEnd"/>
      <w:r w:rsidRPr="00EA1ED4">
        <w:rPr>
          <w:b/>
          <w:bCs/>
          <w:sz w:val="24"/>
          <w:szCs w:val="24"/>
        </w:rPr>
        <w:t>):</w:t>
      </w:r>
    </w:p>
    <w:p w14:paraId="27011C04" w14:textId="077FB4DD" w:rsidR="00B01CAB" w:rsidRPr="00EA1ED4" w:rsidRDefault="00BF1151" w:rsidP="00B01CAB">
      <w:pPr>
        <w:rPr>
          <w:sz w:val="24"/>
          <w:szCs w:val="24"/>
        </w:rPr>
      </w:pPr>
      <w:r w:rsidRPr="00EA1ED4">
        <w:rPr>
          <w:sz w:val="24"/>
          <w:szCs w:val="24"/>
        </w:rPr>
        <w:t>South Coast Air Basin</w:t>
      </w:r>
    </w:p>
    <w:p w14:paraId="5AFEAC01" w14:textId="5BA07979" w:rsidR="00734F5D" w:rsidRPr="00EA1ED4" w:rsidRDefault="00734F5D" w:rsidP="00734F5D">
      <w:pPr>
        <w:rPr>
          <w:sz w:val="24"/>
          <w:szCs w:val="24"/>
        </w:rPr>
      </w:pPr>
      <w:r w:rsidRPr="00EA1ED4">
        <w:rPr>
          <w:sz w:val="24"/>
          <w:szCs w:val="24"/>
        </w:rPr>
        <w:t>2008 Ozone Standard – Extreme Nonattainment Area</w:t>
      </w:r>
    </w:p>
    <w:p w14:paraId="3EEC07B8" w14:textId="77777777" w:rsidR="00BB563C" w:rsidRPr="00EA1ED4" w:rsidRDefault="00BB563C" w:rsidP="00DC1CD7">
      <w:pPr>
        <w:rPr>
          <w:b/>
          <w:bCs/>
          <w:sz w:val="24"/>
          <w:szCs w:val="24"/>
        </w:rPr>
      </w:pPr>
    </w:p>
    <w:p w14:paraId="7FF0EB64" w14:textId="77777777" w:rsidR="00140114" w:rsidRPr="00EA1ED4" w:rsidRDefault="3A537EC3" w:rsidP="3A537EC3">
      <w:pPr>
        <w:rPr>
          <w:b/>
          <w:bCs/>
          <w:sz w:val="24"/>
          <w:szCs w:val="24"/>
        </w:rPr>
      </w:pPr>
      <w:r w:rsidRPr="00EA1ED4">
        <w:rPr>
          <w:b/>
          <w:bCs/>
          <w:sz w:val="24"/>
          <w:szCs w:val="24"/>
        </w:rPr>
        <w:t>Date of designation and date of most recent reclassification, if applicable:</w:t>
      </w:r>
    </w:p>
    <w:p w14:paraId="4F577A57" w14:textId="712D34BC" w:rsidR="00734F5D" w:rsidRPr="00EA1ED4" w:rsidRDefault="00734F5D" w:rsidP="00734F5D">
      <w:pPr>
        <w:rPr>
          <w:sz w:val="24"/>
          <w:szCs w:val="24"/>
        </w:rPr>
      </w:pPr>
      <w:r w:rsidRPr="00EA1ED4">
        <w:rPr>
          <w:sz w:val="24"/>
          <w:szCs w:val="24"/>
        </w:rPr>
        <w:t xml:space="preserve">2008 Ozone Standard </w:t>
      </w:r>
    </w:p>
    <w:p w14:paraId="69FD4D58" w14:textId="50D9DF6D" w:rsidR="00734F5D" w:rsidRPr="00EA1ED4" w:rsidRDefault="00734F5D" w:rsidP="00693DB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A1ED4">
        <w:rPr>
          <w:sz w:val="24"/>
          <w:szCs w:val="24"/>
        </w:rPr>
        <w:t xml:space="preserve">Designation Date: </w:t>
      </w:r>
      <w:r w:rsidR="00693DB3" w:rsidRPr="00EA1ED4">
        <w:rPr>
          <w:sz w:val="24"/>
          <w:szCs w:val="24"/>
        </w:rPr>
        <w:t>4/30/2012</w:t>
      </w:r>
    </w:p>
    <w:p w14:paraId="358D1ED5" w14:textId="468F2108" w:rsidR="00734F5D" w:rsidRPr="00EA1ED4" w:rsidRDefault="00E461C5" w:rsidP="00734F5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A1ED4">
        <w:rPr>
          <w:sz w:val="24"/>
          <w:szCs w:val="24"/>
        </w:rPr>
        <w:t>C</w:t>
      </w:r>
      <w:r w:rsidR="00734F5D" w:rsidRPr="00EA1ED4">
        <w:rPr>
          <w:sz w:val="24"/>
          <w:szCs w:val="24"/>
        </w:rPr>
        <w:t xml:space="preserve">lassify to </w:t>
      </w:r>
      <w:r w:rsidRPr="00EA1ED4">
        <w:rPr>
          <w:sz w:val="24"/>
          <w:szCs w:val="24"/>
        </w:rPr>
        <w:t>Extreme</w:t>
      </w:r>
      <w:r w:rsidR="00734F5D" w:rsidRPr="00EA1ED4">
        <w:rPr>
          <w:sz w:val="24"/>
          <w:szCs w:val="24"/>
        </w:rPr>
        <w:t xml:space="preserve">: </w:t>
      </w:r>
      <w:r w:rsidR="00693DB3" w:rsidRPr="00EA1ED4">
        <w:rPr>
          <w:sz w:val="24"/>
          <w:szCs w:val="24"/>
        </w:rPr>
        <w:t>7/20/2012</w:t>
      </w:r>
    </w:p>
    <w:p w14:paraId="7BF2F85C" w14:textId="0528B6CE" w:rsidR="00A44B1D" w:rsidRPr="00EA1ED4" w:rsidRDefault="00A44B1D" w:rsidP="00A44B1D">
      <w:pPr>
        <w:rPr>
          <w:sz w:val="24"/>
          <w:szCs w:val="24"/>
        </w:rPr>
      </w:pPr>
    </w:p>
    <w:p w14:paraId="5A98C8D5" w14:textId="77777777" w:rsidR="00140114" w:rsidRPr="00EA1ED4" w:rsidRDefault="3A537EC3" w:rsidP="3A537EC3">
      <w:pPr>
        <w:rPr>
          <w:b/>
          <w:bCs/>
          <w:sz w:val="24"/>
          <w:szCs w:val="24"/>
        </w:rPr>
      </w:pPr>
      <w:r w:rsidRPr="00EA1ED4">
        <w:rPr>
          <w:b/>
          <w:bCs/>
          <w:sz w:val="24"/>
          <w:szCs w:val="24"/>
        </w:rPr>
        <w:t>Attainment year:</w:t>
      </w:r>
    </w:p>
    <w:p w14:paraId="01C54256" w14:textId="73F77F7A" w:rsidR="009F12BE" w:rsidRPr="00EA1ED4" w:rsidRDefault="009F12BE" w:rsidP="009F12BE">
      <w:pPr>
        <w:rPr>
          <w:sz w:val="24"/>
          <w:szCs w:val="24"/>
        </w:rPr>
      </w:pPr>
      <w:r w:rsidRPr="00EA1ED4">
        <w:rPr>
          <w:sz w:val="24"/>
          <w:szCs w:val="24"/>
        </w:rPr>
        <w:t xml:space="preserve">2008 Ozone Standard </w:t>
      </w:r>
    </w:p>
    <w:p w14:paraId="78E254BE" w14:textId="49321B31" w:rsidR="009F12BE" w:rsidRPr="00EA1ED4" w:rsidRDefault="009F12BE" w:rsidP="009F12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A1ED4">
        <w:rPr>
          <w:sz w:val="24"/>
          <w:szCs w:val="24"/>
        </w:rPr>
        <w:t>2031</w:t>
      </w:r>
    </w:p>
    <w:p w14:paraId="03303613" w14:textId="77777777" w:rsidR="009F12BE" w:rsidRPr="00EA1ED4" w:rsidRDefault="009F12BE" w:rsidP="00DC1CD7">
      <w:pPr>
        <w:rPr>
          <w:b/>
          <w:bCs/>
          <w:sz w:val="24"/>
          <w:szCs w:val="24"/>
        </w:rPr>
      </w:pPr>
    </w:p>
    <w:p w14:paraId="0E653E30" w14:textId="4D3EE8E5" w:rsidR="00BB563C" w:rsidRPr="00EA1ED4" w:rsidRDefault="3A537EC3" w:rsidP="3A537EC3">
      <w:pPr>
        <w:rPr>
          <w:b/>
          <w:bCs/>
          <w:sz w:val="24"/>
          <w:szCs w:val="24"/>
        </w:rPr>
      </w:pPr>
      <w:r w:rsidRPr="00EA1ED4">
        <w:rPr>
          <w:b/>
          <w:bCs/>
          <w:sz w:val="24"/>
          <w:szCs w:val="24"/>
        </w:rPr>
        <w:t>Type of SIP (e.g., attainment plan or maintenance plan):</w:t>
      </w:r>
    </w:p>
    <w:p w14:paraId="5D0F7AF2" w14:textId="2A8DB602" w:rsidR="00B01CAB" w:rsidRPr="00EA1ED4" w:rsidRDefault="008526DD" w:rsidP="00B01CAB">
      <w:pPr>
        <w:rPr>
          <w:sz w:val="24"/>
          <w:szCs w:val="24"/>
        </w:rPr>
      </w:pPr>
      <w:r w:rsidRPr="00EA1ED4">
        <w:rPr>
          <w:sz w:val="24"/>
          <w:szCs w:val="24"/>
        </w:rPr>
        <w:t xml:space="preserve">Attainment </w:t>
      </w:r>
      <w:r w:rsidR="00275996" w:rsidRPr="00EA1ED4">
        <w:rPr>
          <w:sz w:val="24"/>
          <w:szCs w:val="24"/>
        </w:rPr>
        <w:t xml:space="preserve">and </w:t>
      </w:r>
      <w:r w:rsidR="00886315" w:rsidRPr="00EA1ED4">
        <w:rPr>
          <w:sz w:val="24"/>
          <w:szCs w:val="24"/>
        </w:rPr>
        <w:t xml:space="preserve">RFP </w:t>
      </w:r>
      <w:r w:rsidRPr="00EA1ED4">
        <w:rPr>
          <w:sz w:val="24"/>
          <w:szCs w:val="24"/>
        </w:rPr>
        <w:t>Plan</w:t>
      </w:r>
    </w:p>
    <w:p w14:paraId="35EC8901" w14:textId="77777777" w:rsidR="00553A7F" w:rsidRPr="00EA1ED4" w:rsidRDefault="00553A7F" w:rsidP="00DC1CD7">
      <w:pPr>
        <w:rPr>
          <w:b/>
          <w:bCs/>
          <w:sz w:val="24"/>
          <w:szCs w:val="24"/>
        </w:rPr>
      </w:pPr>
    </w:p>
    <w:p w14:paraId="4E50C534" w14:textId="77777777" w:rsidR="00BB563C" w:rsidRPr="00EA1ED4" w:rsidRDefault="3A537EC3" w:rsidP="3A537EC3">
      <w:pPr>
        <w:rPr>
          <w:b/>
          <w:bCs/>
          <w:sz w:val="24"/>
          <w:szCs w:val="24"/>
        </w:rPr>
      </w:pPr>
      <w:r w:rsidRPr="00EA1ED4">
        <w:rPr>
          <w:b/>
          <w:bCs/>
          <w:sz w:val="24"/>
          <w:szCs w:val="24"/>
        </w:rPr>
        <w:t>Type of pollutant(s):</w:t>
      </w:r>
    </w:p>
    <w:p w14:paraId="0BAA2D91" w14:textId="1B598462" w:rsidR="004E7864" w:rsidRPr="00EA1ED4" w:rsidRDefault="00DC4443" w:rsidP="00DC1CD7">
      <w:pPr>
        <w:rPr>
          <w:b/>
          <w:bCs/>
          <w:sz w:val="24"/>
          <w:szCs w:val="24"/>
        </w:rPr>
      </w:pPr>
      <w:r w:rsidRPr="00EA1ED4">
        <w:rPr>
          <w:sz w:val="24"/>
          <w:szCs w:val="24"/>
        </w:rPr>
        <w:t xml:space="preserve">Ozone </w:t>
      </w:r>
      <w:r w:rsidR="00CB377F" w:rsidRPr="00EA1ED4">
        <w:rPr>
          <w:sz w:val="24"/>
          <w:szCs w:val="24"/>
        </w:rPr>
        <w:t>(</w:t>
      </w:r>
      <w:r w:rsidRPr="00EA1ED4">
        <w:rPr>
          <w:sz w:val="24"/>
          <w:szCs w:val="24"/>
        </w:rPr>
        <w:t>2008</w:t>
      </w:r>
      <w:r w:rsidR="00CB377F" w:rsidRPr="00EA1ED4">
        <w:rPr>
          <w:sz w:val="24"/>
          <w:szCs w:val="24"/>
        </w:rPr>
        <w:t>)</w:t>
      </w:r>
    </w:p>
    <w:p w14:paraId="2F81C461" w14:textId="77777777" w:rsidR="00DC4443" w:rsidRPr="00EA1ED4" w:rsidRDefault="00DC4443" w:rsidP="00DC1CD7">
      <w:pPr>
        <w:rPr>
          <w:b/>
          <w:bCs/>
          <w:sz w:val="24"/>
          <w:szCs w:val="24"/>
        </w:rPr>
      </w:pPr>
    </w:p>
    <w:p w14:paraId="71ADB59D" w14:textId="77777777" w:rsidR="004E7864" w:rsidRPr="00EA1ED4" w:rsidRDefault="3A537EC3" w:rsidP="3A537EC3">
      <w:pPr>
        <w:rPr>
          <w:b/>
          <w:bCs/>
          <w:sz w:val="24"/>
          <w:szCs w:val="24"/>
        </w:rPr>
      </w:pPr>
      <w:r w:rsidRPr="00EA1ED4">
        <w:rPr>
          <w:b/>
          <w:bCs/>
          <w:sz w:val="24"/>
          <w:szCs w:val="24"/>
        </w:rPr>
        <w:t>Model used (e.g., EMFAC 2014):</w:t>
      </w:r>
    </w:p>
    <w:p w14:paraId="301D3A27" w14:textId="77777777" w:rsidR="004E7864" w:rsidRPr="00EA1ED4" w:rsidRDefault="00CB377F" w:rsidP="00DC1CD7">
      <w:pPr>
        <w:rPr>
          <w:b/>
          <w:bCs/>
          <w:sz w:val="24"/>
          <w:szCs w:val="24"/>
        </w:rPr>
      </w:pPr>
      <w:r w:rsidRPr="00EA1ED4">
        <w:rPr>
          <w:sz w:val="24"/>
          <w:szCs w:val="24"/>
        </w:rPr>
        <w:t>EMFAC2014</w:t>
      </w:r>
    </w:p>
    <w:p w14:paraId="6C4CB638" w14:textId="77777777" w:rsidR="00553A7F" w:rsidRPr="00EA1ED4" w:rsidRDefault="00553A7F" w:rsidP="00DC1CD7">
      <w:pPr>
        <w:rPr>
          <w:b/>
          <w:bCs/>
          <w:sz w:val="24"/>
          <w:szCs w:val="24"/>
        </w:rPr>
      </w:pPr>
      <w:bookmarkStart w:id="0" w:name="_GoBack"/>
      <w:bookmarkEnd w:id="0"/>
    </w:p>
    <w:p w14:paraId="55F76A32" w14:textId="77777777" w:rsidR="004E7864" w:rsidRPr="00EA1ED4" w:rsidRDefault="3A537EC3" w:rsidP="3A537EC3">
      <w:pPr>
        <w:rPr>
          <w:b/>
          <w:bCs/>
          <w:sz w:val="24"/>
          <w:szCs w:val="24"/>
        </w:rPr>
      </w:pPr>
      <w:r w:rsidRPr="00EA1ED4">
        <w:rPr>
          <w:b/>
          <w:bCs/>
          <w:sz w:val="24"/>
          <w:szCs w:val="24"/>
        </w:rPr>
        <w:t>Regional transportation plan that provided input for the emissions model:</w:t>
      </w:r>
    </w:p>
    <w:p w14:paraId="0FB1D0B7" w14:textId="2732EC18" w:rsidR="00CD3456" w:rsidRPr="00EA1ED4" w:rsidRDefault="00BB6980" w:rsidP="00DC1CD7">
      <w:pPr>
        <w:rPr>
          <w:b/>
          <w:bCs/>
          <w:sz w:val="24"/>
          <w:szCs w:val="24"/>
        </w:rPr>
      </w:pPr>
      <w:r w:rsidRPr="00EA1ED4">
        <w:rPr>
          <w:sz w:val="24"/>
          <w:szCs w:val="24"/>
        </w:rPr>
        <w:t>2016-2040 Regional Transportation Plan/Sustainable Communities Strategy (RTP/SCS) Amendment #2</w:t>
      </w:r>
    </w:p>
    <w:p w14:paraId="33A0BA13" w14:textId="77777777" w:rsidR="00553A7F" w:rsidRPr="00EA1ED4" w:rsidRDefault="00553A7F" w:rsidP="00DC1CD7">
      <w:pPr>
        <w:rPr>
          <w:b/>
          <w:bCs/>
          <w:sz w:val="24"/>
          <w:szCs w:val="24"/>
        </w:rPr>
      </w:pPr>
    </w:p>
    <w:p w14:paraId="09293881" w14:textId="76F1A71D" w:rsidR="00813C43" w:rsidRPr="00EA1ED4" w:rsidRDefault="3A537EC3" w:rsidP="3A537EC3">
      <w:pPr>
        <w:rPr>
          <w:b/>
          <w:bCs/>
          <w:sz w:val="24"/>
          <w:szCs w:val="24"/>
        </w:rPr>
      </w:pPr>
      <w:r w:rsidRPr="00EA1ED4">
        <w:rPr>
          <w:b/>
          <w:bCs/>
          <w:sz w:val="24"/>
          <w:szCs w:val="24"/>
        </w:rPr>
        <w:t xml:space="preserve">Draft SIP, expected to be available by </w:t>
      </w:r>
      <w:r w:rsidR="00813C43" w:rsidRPr="00EA1ED4">
        <w:rPr>
          <w:b/>
          <w:bCs/>
          <w:sz w:val="24"/>
          <w:szCs w:val="24"/>
        </w:rPr>
        <w:t>September 21, 2018,</w:t>
      </w:r>
      <w:r w:rsidRPr="00EA1ED4">
        <w:t xml:space="preserve"> </w:t>
      </w:r>
      <w:r w:rsidRPr="00EA1ED4">
        <w:rPr>
          <w:b/>
          <w:bCs/>
          <w:sz w:val="24"/>
          <w:szCs w:val="24"/>
        </w:rPr>
        <w:t xml:space="preserve">can be viewed at </w:t>
      </w:r>
      <w:hyperlink r:id="rId8" w:history="1">
        <w:r w:rsidR="00813C43" w:rsidRPr="00EA1ED4">
          <w:rPr>
            <w:rStyle w:val="Hyperlink"/>
            <w:b/>
            <w:color w:val="auto"/>
            <w:sz w:val="24"/>
            <w:szCs w:val="24"/>
          </w:rPr>
          <w:t>https://www.arb.ca.gov/planning/sip/sip.htm</w:t>
        </w:r>
      </w:hyperlink>
    </w:p>
    <w:p w14:paraId="38D36C7A" w14:textId="77777777" w:rsidR="00553A7F" w:rsidRPr="00EA1ED4" w:rsidRDefault="00553A7F" w:rsidP="00DC1CD7">
      <w:pPr>
        <w:rPr>
          <w:sz w:val="24"/>
          <w:szCs w:val="24"/>
        </w:rPr>
      </w:pPr>
    </w:p>
    <w:p w14:paraId="5D976A57" w14:textId="77777777" w:rsidR="005163FE" w:rsidRPr="00EA1ED4" w:rsidRDefault="3A537EC3" w:rsidP="3A537EC3">
      <w:pPr>
        <w:rPr>
          <w:b/>
          <w:bCs/>
          <w:sz w:val="24"/>
          <w:szCs w:val="24"/>
        </w:rPr>
      </w:pPr>
      <w:r w:rsidRPr="00EA1ED4">
        <w:rPr>
          <w:b/>
          <w:bCs/>
          <w:sz w:val="24"/>
          <w:szCs w:val="24"/>
        </w:rPr>
        <w:t>Comments requested by</w:t>
      </w:r>
      <w:r w:rsidR="005163FE" w:rsidRPr="00EA1ED4">
        <w:rPr>
          <w:b/>
          <w:bCs/>
          <w:sz w:val="24"/>
          <w:szCs w:val="24"/>
        </w:rPr>
        <w:t>:</w:t>
      </w:r>
    </w:p>
    <w:p w14:paraId="5D411B88" w14:textId="14D7775B" w:rsidR="00CD3456" w:rsidRPr="00EA1ED4" w:rsidRDefault="0005368D" w:rsidP="3A537EC3">
      <w:pPr>
        <w:rPr>
          <w:b/>
          <w:bCs/>
          <w:sz w:val="24"/>
          <w:szCs w:val="24"/>
        </w:rPr>
      </w:pPr>
      <w:r w:rsidRPr="00EA1ED4">
        <w:rPr>
          <w:bCs/>
          <w:sz w:val="24"/>
          <w:szCs w:val="24"/>
        </w:rPr>
        <w:t>9</w:t>
      </w:r>
      <w:r w:rsidR="005559FD" w:rsidRPr="00EA1ED4">
        <w:rPr>
          <w:bCs/>
          <w:sz w:val="24"/>
          <w:szCs w:val="24"/>
        </w:rPr>
        <w:t>/</w:t>
      </w:r>
      <w:r w:rsidR="00275996" w:rsidRPr="00EA1ED4">
        <w:rPr>
          <w:bCs/>
          <w:sz w:val="24"/>
          <w:szCs w:val="24"/>
        </w:rPr>
        <w:t>24</w:t>
      </w:r>
      <w:r w:rsidR="005559FD" w:rsidRPr="00EA1ED4">
        <w:rPr>
          <w:bCs/>
          <w:sz w:val="24"/>
          <w:szCs w:val="24"/>
        </w:rPr>
        <w:t>/2018</w:t>
      </w:r>
    </w:p>
    <w:p w14:paraId="53B59C06" w14:textId="77777777" w:rsidR="00CD63D0" w:rsidRPr="00EA1ED4" w:rsidRDefault="00CD63D0" w:rsidP="00DC1CD7">
      <w:pPr>
        <w:rPr>
          <w:b/>
          <w:bCs/>
          <w:sz w:val="24"/>
          <w:szCs w:val="24"/>
        </w:rPr>
      </w:pPr>
    </w:p>
    <w:p w14:paraId="1DAC9E5F" w14:textId="77777777" w:rsidR="00B32F44" w:rsidRPr="00EA1ED4" w:rsidRDefault="00B32F44" w:rsidP="00B32F44">
      <w:pPr>
        <w:rPr>
          <w:b/>
          <w:bCs/>
          <w:sz w:val="24"/>
          <w:szCs w:val="24"/>
        </w:rPr>
      </w:pPr>
      <w:r w:rsidRPr="00EA1ED4">
        <w:rPr>
          <w:b/>
          <w:bCs/>
          <w:sz w:val="24"/>
          <w:szCs w:val="24"/>
        </w:rPr>
        <w:t xml:space="preserve">Send questions, concerns, and comments to Nesamani Kalandiyur at (916) 324-0466, </w:t>
      </w:r>
      <w:hyperlink r:id="rId9" w:history="1">
        <w:r w:rsidRPr="00EA1ED4">
          <w:rPr>
            <w:rStyle w:val="Hyperlink"/>
            <w:b/>
            <w:bCs/>
            <w:color w:val="auto"/>
            <w:sz w:val="24"/>
            <w:szCs w:val="24"/>
          </w:rPr>
          <w:t>nesamani.kalandiyur@arb.ca.gov</w:t>
        </w:r>
      </w:hyperlink>
      <w:r w:rsidRPr="00EA1ED4">
        <w:rPr>
          <w:b/>
          <w:bCs/>
          <w:sz w:val="24"/>
          <w:szCs w:val="24"/>
        </w:rPr>
        <w:t xml:space="preserve">, or Shannon Hatcher at (916) 322-9453, </w:t>
      </w:r>
    </w:p>
    <w:p w14:paraId="024468B9" w14:textId="77777777" w:rsidR="00B32F44" w:rsidRPr="00EA1ED4" w:rsidRDefault="00EA1ED4" w:rsidP="00B32F44">
      <w:pPr>
        <w:rPr>
          <w:b/>
          <w:bCs/>
          <w:sz w:val="24"/>
          <w:szCs w:val="24"/>
        </w:rPr>
      </w:pPr>
      <w:hyperlink r:id="rId10" w:history="1">
        <w:r w:rsidR="00B32F44" w:rsidRPr="00EA1ED4">
          <w:rPr>
            <w:rStyle w:val="Hyperlink"/>
            <w:b/>
            <w:bCs/>
            <w:color w:val="auto"/>
            <w:sz w:val="24"/>
            <w:szCs w:val="24"/>
          </w:rPr>
          <w:t>shannon.hatcher@arb.ca.gov</w:t>
        </w:r>
      </w:hyperlink>
      <w:r w:rsidR="00B32F44" w:rsidRPr="00EA1ED4">
        <w:rPr>
          <w:sz w:val="24"/>
          <w:szCs w:val="24"/>
        </w:rPr>
        <w:br w:type="page"/>
      </w:r>
    </w:p>
    <w:p w14:paraId="63CFAAE7" w14:textId="04A41E60" w:rsidR="00F71930" w:rsidRDefault="3A537EC3" w:rsidP="3A537EC3">
      <w:pPr>
        <w:rPr>
          <w:sz w:val="24"/>
          <w:szCs w:val="24"/>
        </w:rPr>
      </w:pPr>
      <w:r w:rsidRPr="3A537EC3">
        <w:rPr>
          <w:sz w:val="24"/>
          <w:szCs w:val="24"/>
        </w:rPr>
        <w:lastRenderedPageBreak/>
        <w:t xml:space="preserve">Notes: </w:t>
      </w:r>
    </w:p>
    <w:p w14:paraId="592461EB" w14:textId="3ECF9411" w:rsidR="00A9582A" w:rsidRDefault="00A9582A" w:rsidP="00A9582A">
      <w:pPr>
        <w:rPr>
          <w:sz w:val="24"/>
          <w:szCs w:val="24"/>
        </w:rPr>
      </w:pPr>
      <w:r>
        <w:rPr>
          <w:sz w:val="24"/>
          <w:szCs w:val="24"/>
        </w:rPr>
        <w:t>Table 1 presents ozone c</w:t>
      </w:r>
      <w:r w:rsidRPr="006A1ED7">
        <w:rPr>
          <w:sz w:val="24"/>
          <w:szCs w:val="24"/>
        </w:rPr>
        <w:t>onformity budgets calculated in EMFAC2014 using annual average daily emissions</w:t>
      </w:r>
      <w:r>
        <w:rPr>
          <w:sz w:val="24"/>
          <w:szCs w:val="24"/>
        </w:rPr>
        <w:t xml:space="preserve"> for the years </w:t>
      </w:r>
      <w:r w:rsidRPr="00D369FF">
        <w:rPr>
          <w:sz w:val="24"/>
          <w:szCs w:val="24"/>
        </w:rPr>
        <w:t>2020</w:t>
      </w:r>
      <w:r>
        <w:rPr>
          <w:sz w:val="24"/>
          <w:szCs w:val="24"/>
        </w:rPr>
        <w:t xml:space="preserve">, </w:t>
      </w:r>
      <w:r w:rsidRPr="00D369FF">
        <w:rPr>
          <w:sz w:val="24"/>
          <w:szCs w:val="24"/>
        </w:rPr>
        <w:t>2023</w:t>
      </w:r>
      <w:r>
        <w:rPr>
          <w:sz w:val="24"/>
          <w:szCs w:val="24"/>
        </w:rPr>
        <w:t xml:space="preserve">, </w:t>
      </w:r>
      <w:r w:rsidRPr="00D369FF">
        <w:rPr>
          <w:sz w:val="24"/>
          <w:szCs w:val="24"/>
        </w:rPr>
        <w:t>2026</w:t>
      </w:r>
      <w:r>
        <w:rPr>
          <w:sz w:val="24"/>
          <w:szCs w:val="24"/>
        </w:rPr>
        <w:t xml:space="preserve">, </w:t>
      </w:r>
      <w:r w:rsidRPr="00D369FF">
        <w:rPr>
          <w:sz w:val="24"/>
          <w:szCs w:val="24"/>
        </w:rPr>
        <w:t>2029</w:t>
      </w:r>
      <w:r>
        <w:rPr>
          <w:sz w:val="24"/>
          <w:szCs w:val="24"/>
        </w:rPr>
        <w:t xml:space="preserve">, and 2031.  </w:t>
      </w:r>
      <w:r w:rsidRPr="006A1ED7">
        <w:rPr>
          <w:sz w:val="24"/>
          <w:szCs w:val="24"/>
        </w:rPr>
        <w:t xml:space="preserve">The motor vehicle emission budgets, presented in the last row </w:t>
      </w:r>
      <w:r w:rsidR="00CB25D8">
        <w:rPr>
          <w:sz w:val="24"/>
          <w:szCs w:val="24"/>
        </w:rPr>
        <w:t xml:space="preserve">of </w:t>
      </w:r>
      <w:r w:rsidRPr="006A1ED7">
        <w:rPr>
          <w:sz w:val="24"/>
          <w:szCs w:val="24"/>
        </w:rPr>
        <w:t xml:space="preserve">Table </w:t>
      </w:r>
      <w:r>
        <w:rPr>
          <w:sz w:val="24"/>
          <w:szCs w:val="24"/>
        </w:rPr>
        <w:t>1</w:t>
      </w:r>
      <w:r w:rsidRPr="006A1ED7">
        <w:rPr>
          <w:sz w:val="24"/>
          <w:szCs w:val="24"/>
        </w:rPr>
        <w:t xml:space="preserve">, have been prepared consistent with the on-road emissions inventory by rounding the values to the nearest integer using conventional rounding.  </w:t>
      </w:r>
    </w:p>
    <w:p w14:paraId="55F382A7" w14:textId="77777777" w:rsidR="00A9582A" w:rsidRDefault="00A9582A" w:rsidP="006A1ED7">
      <w:pPr>
        <w:rPr>
          <w:sz w:val="24"/>
          <w:szCs w:val="24"/>
        </w:rPr>
      </w:pPr>
    </w:p>
    <w:p w14:paraId="01E2E94A" w14:textId="4106A4FA" w:rsidR="00D20C33" w:rsidRDefault="006A1ED7" w:rsidP="00EF7D7E">
      <w:pPr>
        <w:rPr>
          <w:b/>
        </w:rPr>
      </w:pPr>
      <w:r w:rsidRPr="006A1ED7">
        <w:rPr>
          <w:sz w:val="24"/>
          <w:szCs w:val="24"/>
        </w:rPr>
        <w:t xml:space="preserve">The transportation conformity budgets in Table </w:t>
      </w:r>
      <w:r>
        <w:rPr>
          <w:sz w:val="24"/>
          <w:szCs w:val="24"/>
        </w:rPr>
        <w:t>1</w:t>
      </w:r>
      <w:r w:rsidRPr="006A1ED7">
        <w:rPr>
          <w:sz w:val="24"/>
          <w:szCs w:val="24"/>
        </w:rPr>
        <w:t xml:space="preserve">, which were established in consultation with SCAG, the Federal Highway Administration, </w:t>
      </w:r>
      <w:r w:rsidR="00ED570E">
        <w:rPr>
          <w:sz w:val="24"/>
          <w:szCs w:val="24"/>
        </w:rPr>
        <w:t xml:space="preserve">South Coast Air Quality Management District </w:t>
      </w:r>
      <w:r w:rsidRPr="006A1ED7">
        <w:rPr>
          <w:sz w:val="24"/>
          <w:szCs w:val="24"/>
        </w:rPr>
        <w:t>(</w:t>
      </w:r>
      <w:r w:rsidR="00ED570E">
        <w:rPr>
          <w:sz w:val="24"/>
          <w:szCs w:val="24"/>
        </w:rPr>
        <w:t>SCAQMD</w:t>
      </w:r>
      <w:r w:rsidRPr="006A1ED7">
        <w:rPr>
          <w:sz w:val="24"/>
          <w:szCs w:val="24"/>
        </w:rPr>
        <w:t xml:space="preserve">), CARB, and U.S. EPA satisfy the requirements established in 40 CFR Part 93, Section 118(e)(4).44F The budgets apply as a “ceiling” or limit on transportation emissions in </w:t>
      </w:r>
      <w:r w:rsidR="00ED570E">
        <w:rPr>
          <w:sz w:val="24"/>
          <w:szCs w:val="24"/>
        </w:rPr>
        <w:t xml:space="preserve">the South Coast Air Basin </w:t>
      </w:r>
      <w:r w:rsidRPr="006A1ED7">
        <w:rPr>
          <w:sz w:val="24"/>
          <w:szCs w:val="24"/>
        </w:rPr>
        <w:t xml:space="preserve">in the year for which they are defined and for all subsequent years until another year for which a different budget is defined (or until a SIP revision modifies the budget). </w:t>
      </w:r>
    </w:p>
    <w:p w14:paraId="19A293C3" w14:textId="77777777" w:rsidR="00D20C33" w:rsidRDefault="00D20C33" w:rsidP="00A2531E">
      <w:pPr>
        <w:pStyle w:val="BodyText"/>
        <w:spacing w:after="0" w:line="240" w:lineRule="auto"/>
        <w:jc w:val="center"/>
        <w:rPr>
          <w:b/>
        </w:rPr>
        <w:sectPr w:rsidR="00D20C33" w:rsidSect="00553A7F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D9984D" w14:textId="4C5C703A" w:rsidR="00D20C33" w:rsidRDefault="00D20C33" w:rsidP="00D20C33">
      <w:pPr>
        <w:pStyle w:val="BodyText"/>
        <w:spacing w:after="0" w:line="240" w:lineRule="auto"/>
        <w:jc w:val="center"/>
        <w:rPr>
          <w:b/>
        </w:rPr>
      </w:pPr>
      <w:r>
        <w:rPr>
          <w:b/>
        </w:rPr>
        <w:lastRenderedPageBreak/>
        <w:t>Table 1</w:t>
      </w:r>
      <w:r w:rsidRPr="007074A1">
        <w:rPr>
          <w:b/>
        </w:rPr>
        <w:t xml:space="preserve">. </w:t>
      </w:r>
      <w:r w:rsidRPr="00B12EAE">
        <w:rPr>
          <w:b/>
        </w:rPr>
        <w:t xml:space="preserve"> </w:t>
      </w:r>
      <w:r>
        <w:rPr>
          <w:b/>
        </w:rPr>
        <w:t xml:space="preserve">Annual Average </w:t>
      </w:r>
      <w:r w:rsidRPr="007074A1">
        <w:rPr>
          <w:b/>
        </w:rPr>
        <w:t>Transportation Conformity Budgets for the</w:t>
      </w:r>
      <w:r>
        <w:rPr>
          <w:b/>
        </w:rPr>
        <w:t xml:space="preserve"> South Coast Air Basin Ozone Nonattainment Area (</w:t>
      </w:r>
      <w:r w:rsidRPr="007E08FB">
        <w:rPr>
          <w:b/>
        </w:rPr>
        <w:t xml:space="preserve">Tons per </w:t>
      </w:r>
      <w:r w:rsidR="004A2D01">
        <w:rPr>
          <w:b/>
        </w:rPr>
        <w:t>Summer</w:t>
      </w:r>
      <w:r w:rsidRPr="007E08FB">
        <w:rPr>
          <w:b/>
        </w:rPr>
        <w:t xml:space="preserve"> Day</w:t>
      </w:r>
      <w:r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133"/>
        <w:gridCol w:w="1134"/>
        <w:gridCol w:w="1133"/>
        <w:gridCol w:w="1134"/>
        <w:gridCol w:w="1133"/>
        <w:gridCol w:w="1134"/>
        <w:gridCol w:w="1133"/>
        <w:gridCol w:w="1134"/>
        <w:gridCol w:w="1133"/>
        <w:gridCol w:w="1134"/>
      </w:tblGrid>
      <w:tr w:rsidR="00DE3827" w14:paraId="6DAFD5DF" w14:textId="77777777" w:rsidTr="00DE3827">
        <w:tc>
          <w:tcPr>
            <w:tcW w:w="1615" w:type="dxa"/>
            <w:vMerge w:val="restart"/>
            <w:shd w:val="pct25" w:color="auto" w:fill="auto"/>
          </w:tcPr>
          <w:p w14:paraId="05827792" w14:textId="7E2DD9F3" w:rsidR="00DE3827" w:rsidRDefault="00DE3827" w:rsidP="00DE3827">
            <w:pPr>
              <w:pStyle w:val="BodyText"/>
              <w:spacing w:after="0" w:line="240" w:lineRule="auto"/>
              <w:jc w:val="left"/>
            </w:pPr>
            <w:r w:rsidRPr="002E3088">
              <w:rPr>
                <w:b/>
              </w:rPr>
              <w:t>South Coast Air Basin</w:t>
            </w:r>
          </w:p>
        </w:tc>
        <w:tc>
          <w:tcPr>
            <w:tcW w:w="2267" w:type="dxa"/>
            <w:gridSpan w:val="2"/>
            <w:shd w:val="pct25" w:color="auto" w:fill="auto"/>
            <w:vAlign w:val="center"/>
          </w:tcPr>
          <w:p w14:paraId="08F5557B" w14:textId="79436337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2020</w:t>
            </w:r>
          </w:p>
        </w:tc>
        <w:tc>
          <w:tcPr>
            <w:tcW w:w="2267" w:type="dxa"/>
            <w:gridSpan w:val="2"/>
            <w:shd w:val="pct25" w:color="auto" w:fill="auto"/>
            <w:vAlign w:val="center"/>
          </w:tcPr>
          <w:p w14:paraId="26705D59" w14:textId="6D860C3B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2023</w:t>
            </w:r>
          </w:p>
        </w:tc>
        <w:tc>
          <w:tcPr>
            <w:tcW w:w="2267" w:type="dxa"/>
            <w:gridSpan w:val="2"/>
            <w:shd w:val="pct25" w:color="auto" w:fill="auto"/>
            <w:vAlign w:val="center"/>
          </w:tcPr>
          <w:p w14:paraId="57631AAA" w14:textId="4A9022C7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2026</w:t>
            </w:r>
          </w:p>
        </w:tc>
        <w:tc>
          <w:tcPr>
            <w:tcW w:w="2267" w:type="dxa"/>
            <w:gridSpan w:val="2"/>
            <w:shd w:val="pct25" w:color="auto" w:fill="auto"/>
            <w:vAlign w:val="center"/>
          </w:tcPr>
          <w:p w14:paraId="546C1B60" w14:textId="16930323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2029</w:t>
            </w:r>
          </w:p>
        </w:tc>
        <w:tc>
          <w:tcPr>
            <w:tcW w:w="2267" w:type="dxa"/>
            <w:gridSpan w:val="2"/>
            <w:shd w:val="pct25" w:color="auto" w:fill="auto"/>
            <w:vAlign w:val="center"/>
          </w:tcPr>
          <w:p w14:paraId="3E12AE27" w14:textId="20EC1D33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2031</w:t>
            </w:r>
          </w:p>
        </w:tc>
      </w:tr>
      <w:tr w:rsidR="00DE3827" w14:paraId="0D9A04DC" w14:textId="77777777" w:rsidTr="00DE3827">
        <w:tc>
          <w:tcPr>
            <w:tcW w:w="1615" w:type="dxa"/>
            <w:vMerge/>
            <w:shd w:val="pct25" w:color="auto" w:fill="auto"/>
          </w:tcPr>
          <w:p w14:paraId="0DACC5B3" w14:textId="77777777" w:rsidR="00DE3827" w:rsidRDefault="00DE3827" w:rsidP="00DE3827">
            <w:pPr>
              <w:pStyle w:val="BodyText"/>
              <w:spacing w:after="0" w:line="240" w:lineRule="auto"/>
              <w:jc w:val="left"/>
            </w:pPr>
          </w:p>
        </w:tc>
        <w:tc>
          <w:tcPr>
            <w:tcW w:w="1133" w:type="dxa"/>
            <w:shd w:val="pct25" w:color="auto" w:fill="auto"/>
          </w:tcPr>
          <w:p w14:paraId="382916E8" w14:textId="57DD1E23" w:rsidR="00DE3827" w:rsidRDefault="00DE3827" w:rsidP="00DE3827">
            <w:pPr>
              <w:pStyle w:val="BodyText"/>
              <w:spacing w:after="0" w:line="240" w:lineRule="auto"/>
              <w:jc w:val="center"/>
            </w:pPr>
            <w:r w:rsidRPr="002E3088">
              <w:rPr>
                <w:b/>
              </w:rPr>
              <w:t>ROG</w:t>
            </w:r>
          </w:p>
        </w:tc>
        <w:tc>
          <w:tcPr>
            <w:tcW w:w="1134" w:type="dxa"/>
            <w:shd w:val="pct25" w:color="auto" w:fill="auto"/>
          </w:tcPr>
          <w:p w14:paraId="1B608293" w14:textId="58D9FD94" w:rsidR="00DE3827" w:rsidRDefault="00DE3827" w:rsidP="00DE3827">
            <w:pPr>
              <w:pStyle w:val="BodyText"/>
              <w:spacing w:after="0" w:line="240" w:lineRule="auto"/>
              <w:jc w:val="center"/>
            </w:pPr>
            <w:r w:rsidRPr="002E3088">
              <w:rPr>
                <w:b/>
              </w:rPr>
              <w:t>NO</w:t>
            </w:r>
            <w:r w:rsidRPr="002E3088">
              <w:rPr>
                <w:b/>
                <w:vertAlign w:val="subscript"/>
              </w:rPr>
              <w:t>X</w:t>
            </w:r>
          </w:p>
        </w:tc>
        <w:tc>
          <w:tcPr>
            <w:tcW w:w="1133" w:type="dxa"/>
            <w:shd w:val="pct25" w:color="auto" w:fill="auto"/>
          </w:tcPr>
          <w:p w14:paraId="607DEF08" w14:textId="3DE200F1" w:rsidR="00DE3827" w:rsidRDefault="00DE3827" w:rsidP="00DE3827">
            <w:pPr>
              <w:pStyle w:val="BodyText"/>
              <w:spacing w:after="0" w:line="240" w:lineRule="auto"/>
              <w:jc w:val="center"/>
            </w:pPr>
            <w:r w:rsidRPr="002E3088">
              <w:rPr>
                <w:b/>
              </w:rPr>
              <w:t>ROG</w:t>
            </w:r>
          </w:p>
        </w:tc>
        <w:tc>
          <w:tcPr>
            <w:tcW w:w="1134" w:type="dxa"/>
            <w:shd w:val="pct25" w:color="auto" w:fill="auto"/>
          </w:tcPr>
          <w:p w14:paraId="5A47F77F" w14:textId="224ADFCA" w:rsidR="00DE3827" w:rsidRDefault="00DE3827" w:rsidP="00DE3827">
            <w:pPr>
              <w:pStyle w:val="BodyText"/>
              <w:spacing w:after="0" w:line="240" w:lineRule="auto"/>
              <w:jc w:val="center"/>
            </w:pPr>
            <w:r w:rsidRPr="002E3088">
              <w:rPr>
                <w:b/>
              </w:rPr>
              <w:t>NO</w:t>
            </w:r>
            <w:r w:rsidRPr="002E3088">
              <w:rPr>
                <w:b/>
                <w:vertAlign w:val="subscript"/>
              </w:rPr>
              <w:t>X</w:t>
            </w:r>
          </w:p>
        </w:tc>
        <w:tc>
          <w:tcPr>
            <w:tcW w:w="1133" w:type="dxa"/>
            <w:shd w:val="pct25" w:color="auto" w:fill="auto"/>
          </w:tcPr>
          <w:p w14:paraId="15EEAB11" w14:textId="2D7811BD" w:rsidR="00DE3827" w:rsidRDefault="00DE3827" w:rsidP="00DE3827">
            <w:pPr>
              <w:pStyle w:val="BodyText"/>
              <w:spacing w:after="0" w:line="240" w:lineRule="auto"/>
              <w:jc w:val="center"/>
            </w:pPr>
            <w:r w:rsidRPr="002E3088">
              <w:rPr>
                <w:b/>
              </w:rPr>
              <w:t>ROG</w:t>
            </w:r>
          </w:p>
        </w:tc>
        <w:tc>
          <w:tcPr>
            <w:tcW w:w="1134" w:type="dxa"/>
            <w:shd w:val="pct25" w:color="auto" w:fill="auto"/>
          </w:tcPr>
          <w:p w14:paraId="00255C2F" w14:textId="724D52D4" w:rsidR="00DE3827" w:rsidRDefault="00DE3827" w:rsidP="00DE3827">
            <w:pPr>
              <w:pStyle w:val="BodyText"/>
              <w:spacing w:after="0" w:line="240" w:lineRule="auto"/>
              <w:jc w:val="center"/>
            </w:pPr>
            <w:r w:rsidRPr="002E3088">
              <w:rPr>
                <w:b/>
              </w:rPr>
              <w:t>NO</w:t>
            </w:r>
            <w:r w:rsidRPr="002E3088">
              <w:rPr>
                <w:b/>
                <w:vertAlign w:val="subscript"/>
              </w:rPr>
              <w:t>X</w:t>
            </w:r>
          </w:p>
        </w:tc>
        <w:tc>
          <w:tcPr>
            <w:tcW w:w="1133" w:type="dxa"/>
            <w:shd w:val="pct25" w:color="auto" w:fill="auto"/>
          </w:tcPr>
          <w:p w14:paraId="344E229C" w14:textId="1B6F80AF" w:rsidR="00DE3827" w:rsidRDefault="00DE3827" w:rsidP="00DE3827">
            <w:pPr>
              <w:pStyle w:val="BodyText"/>
              <w:spacing w:after="0" w:line="240" w:lineRule="auto"/>
              <w:jc w:val="center"/>
            </w:pPr>
            <w:r w:rsidRPr="002E3088">
              <w:rPr>
                <w:b/>
              </w:rPr>
              <w:t>ROG</w:t>
            </w:r>
          </w:p>
        </w:tc>
        <w:tc>
          <w:tcPr>
            <w:tcW w:w="1134" w:type="dxa"/>
            <w:shd w:val="pct25" w:color="auto" w:fill="auto"/>
          </w:tcPr>
          <w:p w14:paraId="3492829B" w14:textId="1FA8822F" w:rsidR="00DE3827" w:rsidRDefault="00DE3827" w:rsidP="00DE3827">
            <w:pPr>
              <w:pStyle w:val="BodyText"/>
              <w:spacing w:after="0" w:line="240" w:lineRule="auto"/>
              <w:jc w:val="center"/>
            </w:pPr>
            <w:r w:rsidRPr="002E3088">
              <w:rPr>
                <w:b/>
              </w:rPr>
              <w:t>NO</w:t>
            </w:r>
            <w:r w:rsidRPr="002E3088">
              <w:rPr>
                <w:b/>
                <w:vertAlign w:val="subscript"/>
              </w:rPr>
              <w:t>X</w:t>
            </w:r>
          </w:p>
        </w:tc>
        <w:tc>
          <w:tcPr>
            <w:tcW w:w="1133" w:type="dxa"/>
            <w:shd w:val="pct25" w:color="auto" w:fill="auto"/>
          </w:tcPr>
          <w:p w14:paraId="73A9448E" w14:textId="1E96F8ED" w:rsidR="00DE3827" w:rsidRDefault="00DE3827" w:rsidP="00DE3827">
            <w:pPr>
              <w:pStyle w:val="BodyText"/>
              <w:spacing w:after="0" w:line="240" w:lineRule="auto"/>
              <w:jc w:val="center"/>
            </w:pPr>
            <w:r w:rsidRPr="002E3088">
              <w:rPr>
                <w:b/>
              </w:rPr>
              <w:t>ROG</w:t>
            </w:r>
          </w:p>
        </w:tc>
        <w:tc>
          <w:tcPr>
            <w:tcW w:w="1134" w:type="dxa"/>
            <w:shd w:val="pct25" w:color="auto" w:fill="auto"/>
          </w:tcPr>
          <w:p w14:paraId="3FB7EA08" w14:textId="20D86A40" w:rsidR="00DE3827" w:rsidRDefault="00DE3827" w:rsidP="00DE3827">
            <w:pPr>
              <w:pStyle w:val="BodyText"/>
              <w:spacing w:after="0" w:line="240" w:lineRule="auto"/>
              <w:jc w:val="center"/>
            </w:pPr>
            <w:r w:rsidRPr="002E3088">
              <w:rPr>
                <w:b/>
              </w:rPr>
              <w:t>NO</w:t>
            </w:r>
            <w:r w:rsidRPr="002E3088">
              <w:rPr>
                <w:b/>
                <w:vertAlign w:val="subscript"/>
              </w:rPr>
              <w:t>X</w:t>
            </w:r>
          </w:p>
        </w:tc>
      </w:tr>
      <w:tr w:rsidR="00DE3827" w14:paraId="4A20EE5D" w14:textId="77777777" w:rsidTr="000C47AB">
        <w:tc>
          <w:tcPr>
            <w:tcW w:w="1615" w:type="dxa"/>
          </w:tcPr>
          <w:p w14:paraId="47344712" w14:textId="62E07567" w:rsidR="00DE3827" w:rsidRDefault="00DE3827" w:rsidP="00DE3827">
            <w:pPr>
              <w:pStyle w:val="BodyText"/>
              <w:spacing w:after="0" w:line="240" w:lineRule="auto"/>
              <w:jc w:val="left"/>
            </w:pPr>
            <w:r w:rsidRPr="00D61E1A">
              <w:t>Baseline Emissions</w:t>
            </w:r>
          </w:p>
        </w:tc>
        <w:tc>
          <w:tcPr>
            <w:tcW w:w="1133" w:type="dxa"/>
            <w:vAlign w:val="center"/>
          </w:tcPr>
          <w:p w14:paraId="3B974805" w14:textId="1E11ED1B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szCs w:val="22"/>
              </w:rPr>
              <w:t>79.78</w:t>
            </w:r>
          </w:p>
        </w:tc>
        <w:tc>
          <w:tcPr>
            <w:tcW w:w="1134" w:type="dxa"/>
            <w:vAlign w:val="center"/>
          </w:tcPr>
          <w:p w14:paraId="35B2B06C" w14:textId="30C1D9DC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szCs w:val="22"/>
              </w:rPr>
              <w:t>140.17</w:t>
            </w:r>
          </w:p>
        </w:tc>
        <w:tc>
          <w:tcPr>
            <w:tcW w:w="1133" w:type="dxa"/>
            <w:vAlign w:val="center"/>
          </w:tcPr>
          <w:p w14:paraId="2326F973" w14:textId="17CF977A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szCs w:val="22"/>
              </w:rPr>
              <w:t>67.72</w:t>
            </w:r>
          </w:p>
        </w:tc>
        <w:tc>
          <w:tcPr>
            <w:tcW w:w="1134" w:type="dxa"/>
            <w:vAlign w:val="center"/>
          </w:tcPr>
          <w:p w14:paraId="293C7EEE" w14:textId="11F2F2E6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szCs w:val="22"/>
              </w:rPr>
              <w:t>88.21</w:t>
            </w:r>
          </w:p>
        </w:tc>
        <w:tc>
          <w:tcPr>
            <w:tcW w:w="1133" w:type="dxa"/>
            <w:vAlign w:val="center"/>
          </w:tcPr>
          <w:p w14:paraId="10DE3540" w14:textId="305D1149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szCs w:val="22"/>
              </w:rPr>
              <w:t>59.13</w:t>
            </w:r>
          </w:p>
        </w:tc>
        <w:tc>
          <w:tcPr>
            <w:tcW w:w="1134" w:type="dxa"/>
            <w:vAlign w:val="center"/>
          </w:tcPr>
          <w:p w14:paraId="37AD81FC" w14:textId="7D6CEC0A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szCs w:val="22"/>
              </w:rPr>
              <w:t>76.14</w:t>
            </w:r>
          </w:p>
        </w:tc>
        <w:tc>
          <w:tcPr>
            <w:tcW w:w="1133" w:type="dxa"/>
            <w:vAlign w:val="center"/>
          </w:tcPr>
          <w:p w14:paraId="1660810F" w14:textId="56A8499F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szCs w:val="22"/>
              </w:rPr>
              <w:t>53.44</w:t>
            </w:r>
          </w:p>
        </w:tc>
        <w:tc>
          <w:tcPr>
            <w:tcW w:w="1134" w:type="dxa"/>
            <w:vAlign w:val="center"/>
          </w:tcPr>
          <w:p w14:paraId="0F43CE21" w14:textId="111D3AB2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szCs w:val="22"/>
              </w:rPr>
              <w:t>68.44</w:t>
            </w:r>
          </w:p>
        </w:tc>
        <w:tc>
          <w:tcPr>
            <w:tcW w:w="1133" w:type="dxa"/>
            <w:vAlign w:val="center"/>
          </w:tcPr>
          <w:p w14:paraId="37478BE0" w14:textId="296181A7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szCs w:val="22"/>
              </w:rPr>
              <w:t>49.45</w:t>
            </w:r>
          </w:p>
        </w:tc>
        <w:tc>
          <w:tcPr>
            <w:tcW w:w="1134" w:type="dxa"/>
            <w:vAlign w:val="center"/>
          </w:tcPr>
          <w:p w14:paraId="4ECDD994" w14:textId="1CB7A5FB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szCs w:val="22"/>
              </w:rPr>
              <w:t>65.10</w:t>
            </w:r>
          </w:p>
        </w:tc>
      </w:tr>
      <w:tr w:rsidR="00B32F44" w14:paraId="0CBBFFA1" w14:textId="77777777" w:rsidTr="00264E4B">
        <w:tc>
          <w:tcPr>
            <w:tcW w:w="1615" w:type="dxa"/>
          </w:tcPr>
          <w:p w14:paraId="68B91821" w14:textId="4F81A197" w:rsidR="00B32F44" w:rsidRDefault="00B32F44" w:rsidP="00B32F44">
            <w:pPr>
              <w:pStyle w:val="BodyText"/>
              <w:spacing w:after="0" w:line="240" w:lineRule="auto"/>
              <w:jc w:val="left"/>
            </w:pPr>
            <w:r w:rsidRPr="00D61E1A">
              <w:t>Total</w:t>
            </w:r>
          </w:p>
        </w:tc>
        <w:tc>
          <w:tcPr>
            <w:tcW w:w="1133" w:type="dxa"/>
          </w:tcPr>
          <w:p w14:paraId="1FDF8A46" w14:textId="16833933" w:rsidR="00B32F44" w:rsidRDefault="00B32F44" w:rsidP="00B32F44">
            <w:pPr>
              <w:pStyle w:val="BodyText"/>
              <w:spacing w:after="0" w:line="240" w:lineRule="auto"/>
              <w:jc w:val="center"/>
            </w:pPr>
            <w:r w:rsidRPr="00D95553">
              <w:t>79.78</w:t>
            </w:r>
          </w:p>
        </w:tc>
        <w:tc>
          <w:tcPr>
            <w:tcW w:w="1134" w:type="dxa"/>
          </w:tcPr>
          <w:p w14:paraId="5DC86290" w14:textId="0DC2B856" w:rsidR="00B32F44" w:rsidRDefault="00B32F44" w:rsidP="00B32F44">
            <w:pPr>
              <w:pStyle w:val="BodyText"/>
              <w:spacing w:after="0" w:line="240" w:lineRule="auto"/>
              <w:jc w:val="center"/>
            </w:pPr>
            <w:r w:rsidRPr="00D95553">
              <w:t>140.17</w:t>
            </w:r>
          </w:p>
        </w:tc>
        <w:tc>
          <w:tcPr>
            <w:tcW w:w="1133" w:type="dxa"/>
          </w:tcPr>
          <w:p w14:paraId="6B7A24EC" w14:textId="1A271B5A" w:rsidR="00B32F44" w:rsidRDefault="00B32F44" w:rsidP="00B32F44">
            <w:pPr>
              <w:pStyle w:val="BodyText"/>
              <w:spacing w:after="0" w:line="240" w:lineRule="auto"/>
              <w:jc w:val="center"/>
            </w:pPr>
            <w:r w:rsidRPr="00D95553">
              <w:t>67.72</w:t>
            </w:r>
          </w:p>
        </w:tc>
        <w:tc>
          <w:tcPr>
            <w:tcW w:w="1134" w:type="dxa"/>
          </w:tcPr>
          <w:p w14:paraId="47E7602E" w14:textId="63ECBD10" w:rsidR="00B32F44" w:rsidRDefault="00B32F44" w:rsidP="00B32F44">
            <w:pPr>
              <w:pStyle w:val="BodyText"/>
              <w:spacing w:after="0" w:line="240" w:lineRule="auto"/>
              <w:jc w:val="center"/>
            </w:pPr>
            <w:r w:rsidRPr="00D95553">
              <w:t>88.21</w:t>
            </w:r>
          </w:p>
        </w:tc>
        <w:tc>
          <w:tcPr>
            <w:tcW w:w="1133" w:type="dxa"/>
          </w:tcPr>
          <w:p w14:paraId="126194AA" w14:textId="74058E3B" w:rsidR="00B32F44" w:rsidRDefault="00B32F44" w:rsidP="00B32F44">
            <w:pPr>
              <w:pStyle w:val="BodyText"/>
              <w:spacing w:after="0" w:line="240" w:lineRule="auto"/>
              <w:jc w:val="center"/>
            </w:pPr>
            <w:r w:rsidRPr="00D95553">
              <w:t>59.13</w:t>
            </w:r>
          </w:p>
        </w:tc>
        <w:tc>
          <w:tcPr>
            <w:tcW w:w="1134" w:type="dxa"/>
          </w:tcPr>
          <w:p w14:paraId="4490E9F7" w14:textId="53E61B53" w:rsidR="00B32F44" w:rsidRDefault="00B32F44" w:rsidP="00B32F44">
            <w:pPr>
              <w:pStyle w:val="BodyText"/>
              <w:spacing w:after="0" w:line="240" w:lineRule="auto"/>
              <w:jc w:val="center"/>
            </w:pPr>
            <w:r w:rsidRPr="00D95553">
              <w:t>76.14</w:t>
            </w:r>
          </w:p>
        </w:tc>
        <w:tc>
          <w:tcPr>
            <w:tcW w:w="1133" w:type="dxa"/>
          </w:tcPr>
          <w:p w14:paraId="066C8904" w14:textId="1A9BFC68" w:rsidR="00B32F44" w:rsidRDefault="00B32F44" w:rsidP="00B32F44">
            <w:pPr>
              <w:pStyle w:val="BodyText"/>
              <w:spacing w:after="0" w:line="240" w:lineRule="auto"/>
              <w:jc w:val="center"/>
            </w:pPr>
            <w:r w:rsidRPr="00D95553">
              <w:t>53.44</w:t>
            </w:r>
          </w:p>
        </w:tc>
        <w:tc>
          <w:tcPr>
            <w:tcW w:w="1134" w:type="dxa"/>
          </w:tcPr>
          <w:p w14:paraId="0CD12198" w14:textId="38E334B6" w:rsidR="00B32F44" w:rsidRDefault="00B32F44" w:rsidP="00B32F44">
            <w:pPr>
              <w:pStyle w:val="BodyText"/>
              <w:spacing w:after="0" w:line="240" w:lineRule="auto"/>
              <w:jc w:val="center"/>
            </w:pPr>
            <w:r w:rsidRPr="00D95553">
              <w:t>68.44</w:t>
            </w:r>
          </w:p>
        </w:tc>
        <w:tc>
          <w:tcPr>
            <w:tcW w:w="1133" w:type="dxa"/>
          </w:tcPr>
          <w:p w14:paraId="4E026E1A" w14:textId="1D9488CE" w:rsidR="00B32F44" w:rsidRDefault="00B32F44" w:rsidP="00B32F44">
            <w:pPr>
              <w:pStyle w:val="BodyText"/>
              <w:spacing w:after="0" w:line="240" w:lineRule="auto"/>
              <w:jc w:val="center"/>
            </w:pPr>
            <w:r w:rsidRPr="00D95553">
              <w:t>49.45</w:t>
            </w:r>
          </w:p>
        </w:tc>
        <w:tc>
          <w:tcPr>
            <w:tcW w:w="1134" w:type="dxa"/>
          </w:tcPr>
          <w:p w14:paraId="4E46C9E4" w14:textId="4C7A16E8" w:rsidR="00B32F44" w:rsidRDefault="00B32F44" w:rsidP="00B32F44">
            <w:pPr>
              <w:pStyle w:val="BodyText"/>
              <w:spacing w:after="0" w:line="240" w:lineRule="auto"/>
              <w:jc w:val="center"/>
            </w:pPr>
            <w:r w:rsidRPr="00D95553">
              <w:t>65.10</w:t>
            </w:r>
          </w:p>
        </w:tc>
      </w:tr>
      <w:tr w:rsidR="00DE3827" w14:paraId="39DA873B" w14:textId="77777777" w:rsidTr="000C47AB">
        <w:tc>
          <w:tcPr>
            <w:tcW w:w="1615" w:type="dxa"/>
          </w:tcPr>
          <w:p w14:paraId="234A8820" w14:textId="3B20FAFE" w:rsidR="00DE3827" w:rsidRDefault="00DE3827" w:rsidP="00DE3827">
            <w:pPr>
              <w:pStyle w:val="BodyText"/>
              <w:spacing w:after="0" w:line="240" w:lineRule="auto"/>
              <w:jc w:val="left"/>
            </w:pPr>
            <w:r w:rsidRPr="002E3088">
              <w:rPr>
                <w:b/>
              </w:rPr>
              <w:t>Conformity Budget*</w:t>
            </w:r>
          </w:p>
        </w:tc>
        <w:tc>
          <w:tcPr>
            <w:tcW w:w="1133" w:type="dxa"/>
            <w:vAlign w:val="center"/>
          </w:tcPr>
          <w:p w14:paraId="7D54F5C9" w14:textId="624924CD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80</w:t>
            </w:r>
          </w:p>
        </w:tc>
        <w:tc>
          <w:tcPr>
            <w:tcW w:w="1134" w:type="dxa"/>
            <w:vAlign w:val="center"/>
          </w:tcPr>
          <w:p w14:paraId="3F6608C5" w14:textId="2B15A4D1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141</w:t>
            </w:r>
          </w:p>
        </w:tc>
        <w:tc>
          <w:tcPr>
            <w:tcW w:w="1133" w:type="dxa"/>
            <w:vAlign w:val="center"/>
          </w:tcPr>
          <w:p w14:paraId="486B4502" w14:textId="78609F51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68</w:t>
            </w:r>
          </w:p>
        </w:tc>
        <w:tc>
          <w:tcPr>
            <w:tcW w:w="1134" w:type="dxa"/>
            <w:vAlign w:val="center"/>
          </w:tcPr>
          <w:p w14:paraId="56433697" w14:textId="2DCCEBE0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89</w:t>
            </w:r>
          </w:p>
        </w:tc>
        <w:tc>
          <w:tcPr>
            <w:tcW w:w="1133" w:type="dxa"/>
            <w:vAlign w:val="center"/>
          </w:tcPr>
          <w:p w14:paraId="6B922907" w14:textId="2981B72F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60</w:t>
            </w:r>
          </w:p>
        </w:tc>
        <w:tc>
          <w:tcPr>
            <w:tcW w:w="1134" w:type="dxa"/>
            <w:vAlign w:val="center"/>
          </w:tcPr>
          <w:p w14:paraId="613CDA24" w14:textId="5CD2E01F" w:rsidR="00DE3827" w:rsidRDefault="00B32F44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77</w:t>
            </w:r>
          </w:p>
        </w:tc>
        <w:tc>
          <w:tcPr>
            <w:tcW w:w="1133" w:type="dxa"/>
            <w:vAlign w:val="center"/>
          </w:tcPr>
          <w:p w14:paraId="768986CB" w14:textId="4732DCD4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54</w:t>
            </w:r>
          </w:p>
        </w:tc>
        <w:tc>
          <w:tcPr>
            <w:tcW w:w="1134" w:type="dxa"/>
            <w:vAlign w:val="center"/>
          </w:tcPr>
          <w:p w14:paraId="15051348" w14:textId="6D1A4F7E" w:rsidR="00DE3827" w:rsidRDefault="00B32F44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69</w:t>
            </w:r>
          </w:p>
        </w:tc>
        <w:tc>
          <w:tcPr>
            <w:tcW w:w="1133" w:type="dxa"/>
            <w:vAlign w:val="center"/>
          </w:tcPr>
          <w:p w14:paraId="7EC17C9B" w14:textId="3273B6BF" w:rsidR="00DE3827" w:rsidRDefault="00DE3827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5FD64323" w14:textId="20E90C00" w:rsidR="00DE3827" w:rsidRDefault="00B32F44" w:rsidP="00DE3827">
            <w:pPr>
              <w:pStyle w:val="BodyText"/>
              <w:spacing w:after="0" w:line="240" w:lineRule="auto"/>
              <w:jc w:val="center"/>
            </w:pPr>
            <w:r>
              <w:rPr>
                <w:rFonts w:cs="Arial"/>
                <w:b/>
                <w:bCs w:val="0"/>
                <w:szCs w:val="22"/>
              </w:rPr>
              <w:t>66</w:t>
            </w:r>
          </w:p>
        </w:tc>
      </w:tr>
      <w:tr w:rsidR="00DE3827" w:rsidRPr="00FE4A1C" w14:paraId="6DA32FA0" w14:textId="77777777" w:rsidTr="006C5260">
        <w:tc>
          <w:tcPr>
            <w:tcW w:w="12950" w:type="dxa"/>
            <w:gridSpan w:val="11"/>
          </w:tcPr>
          <w:p w14:paraId="4CCF0920" w14:textId="77777777" w:rsidR="00DE3827" w:rsidRDefault="00DE3827" w:rsidP="006C5260">
            <w:pPr>
              <w:pStyle w:val="BodyText"/>
              <w:spacing w:after="0"/>
            </w:pPr>
            <w:r>
              <w:t xml:space="preserve">* Motor Vehicle Emission Budgets calculated with EMFAC2014 are rounded up to the nearest </w:t>
            </w:r>
            <w:proofErr w:type="spellStart"/>
            <w:r>
              <w:t>tpd</w:t>
            </w:r>
            <w:proofErr w:type="spellEnd"/>
            <w:r>
              <w:t>.</w:t>
            </w:r>
          </w:p>
          <w:p w14:paraId="3D9DE691" w14:textId="77777777" w:rsidR="00DE3827" w:rsidRPr="00FE4A1C" w:rsidRDefault="00DE3827" w:rsidP="006C5260">
            <w:pPr>
              <w:pStyle w:val="BodyText"/>
              <w:tabs>
                <w:tab w:val="left" w:pos="157"/>
              </w:tabs>
              <w:spacing w:after="0" w:line="240" w:lineRule="auto"/>
              <w:jc w:val="left"/>
            </w:pPr>
            <w:r>
              <w:tab/>
              <w:t>Source:  EMFAC2014</w:t>
            </w:r>
          </w:p>
        </w:tc>
      </w:tr>
    </w:tbl>
    <w:p w14:paraId="4B485C11" w14:textId="5F1725DC" w:rsidR="00DE3827" w:rsidRPr="00FE4A1C" w:rsidRDefault="00DE3827" w:rsidP="00FE4A1C">
      <w:pPr>
        <w:pStyle w:val="BodyText"/>
        <w:spacing w:after="0" w:line="240" w:lineRule="auto"/>
        <w:jc w:val="left"/>
      </w:pPr>
    </w:p>
    <w:p w14:paraId="099718FB" w14:textId="6E93C1C7" w:rsidR="00D20C33" w:rsidRDefault="00D20C33" w:rsidP="00EF7D7E">
      <w:pPr>
        <w:pStyle w:val="BodyText"/>
        <w:spacing w:after="0" w:line="240" w:lineRule="auto"/>
        <w:rPr>
          <w:b/>
        </w:rPr>
        <w:sectPr w:rsidR="00D20C33" w:rsidSect="00D20C3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3A8D121" w14:textId="744A02B5" w:rsidR="004774F7" w:rsidRDefault="004774F7" w:rsidP="00EF7D7E">
      <w:pPr>
        <w:rPr>
          <w:b/>
          <w:bCs/>
          <w:color w:val="FF0000"/>
          <w:sz w:val="24"/>
          <w:szCs w:val="24"/>
        </w:rPr>
      </w:pPr>
    </w:p>
    <w:sectPr w:rsidR="004774F7" w:rsidSect="0055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94D7A" w14:textId="77777777" w:rsidR="002E406A" w:rsidRDefault="002E406A" w:rsidP="0069436B">
      <w:r>
        <w:separator/>
      </w:r>
    </w:p>
  </w:endnote>
  <w:endnote w:type="continuationSeparator" w:id="0">
    <w:p w14:paraId="41F73376" w14:textId="77777777" w:rsidR="002E406A" w:rsidRDefault="002E406A" w:rsidP="0069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B5620" w14:textId="77777777" w:rsidR="002E406A" w:rsidRDefault="002E406A" w:rsidP="0069436B">
      <w:r>
        <w:separator/>
      </w:r>
    </w:p>
  </w:footnote>
  <w:footnote w:type="continuationSeparator" w:id="0">
    <w:p w14:paraId="4FA90409" w14:textId="77777777" w:rsidR="002E406A" w:rsidRDefault="002E406A" w:rsidP="0069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A7CA" w14:textId="4D944A77" w:rsidR="0069436B" w:rsidRDefault="00694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3741"/>
    <w:multiLevelType w:val="hybridMultilevel"/>
    <w:tmpl w:val="75D858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41E50"/>
    <w:multiLevelType w:val="hybridMultilevel"/>
    <w:tmpl w:val="2BD0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110E4"/>
    <w:multiLevelType w:val="hybridMultilevel"/>
    <w:tmpl w:val="78FE3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04BE4"/>
    <w:multiLevelType w:val="hybridMultilevel"/>
    <w:tmpl w:val="A878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601CD"/>
    <w:multiLevelType w:val="hybridMultilevel"/>
    <w:tmpl w:val="6B96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D7"/>
    <w:rsid w:val="00025F2C"/>
    <w:rsid w:val="00031C08"/>
    <w:rsid w:val="00052B53"/>
    <w:rsid w:val="0005368D"/>
    <w:rsid w:val="00072E3E"/>
    <w:rsid w:val="00077F95"/>
    <w:rsid w:val="000B767C"/>
    <w:rsid w:val="001207EA"/>
    <w:rsid w:val="00134372"/>
    <w:rsid w:val="00140114"/>
    <w:rsid w:val="00162B37"/>
    <w:rsid w:val="001A29FD"/>
    <w:rsid w:val="001E3062"/>
    <w:rsid w:val="00215D07"/>
    <w:rsid w:val="002415FC"/>
    <w:rsid w:val="00242DED"/>
    <w:rsid w:val="00257BA3"/>
    <w:rsid w:val="00275996"/>
    <w:rsid w:val="00281DD9"/>
    <w:rsid w:val="0028582B"/>
    <w:rsid w:val="00296531"/>
    <w:rsid w:val="002C1258"/>
    <w:rsid w:val="002C43AE"/>
    <w:rsid w:val="002D0D56"/>
    <w:rsid w:val="002E1E34"/>
    <w:rsid w:val="002E3088"/>
    <w:rsid w:val="002E406A"/>
    <w:rsid w:val="00307F87"/>
    <w:rsid w:val="00335858"/>
    <w:rsid w:val="003B5108"/>
    <w:rsid w:val="003D6518"/>
    <w:rsid w:val="003F1177"/>
    <w:rsid w:val="0044015C"/>
    <w:rsid w:val="00446A63"/>
    <w:rsid w:val="0045132E"/>
    <w:rsid w:val="004774F7"/>
    <w:rsid w:val="004817B5"/>
    <w:rsid w:val="004A269C"/>
    <w:rsid w:val="004A2D01"/>
    <w:rsid w:val="004B7770"/>
    <w:rsid w:val="004D02B7"/>
    <w:rsid w:val="004D24B5"/>
    <w:rsid w:val="004E7864"/>
    <w:rsid w:val="004F7F09"/>
    <w:rsid w:val="0050297C"/>
    <w:rsid w:val="0051449A"/>
    <w:rsid w:val="005163FE"/>
    <w:rsid w:val="0053599D"/>
    <w:rsid w:val="00553A7F"/>
    <w:rsid w:val="005559FD"/>
    <w:rsid w:val="00561C7D"/>
    <w:rsid w:val="0057617A"/>
    <w:rsid w:val="00584E56"/>
    <w:rsid w:val="005E79A2"/>
    <w:rsid w:val="00620086"/>
    <w:rsid w:val="00681E87"/>
    <w:rsid w:val="00693DB3"/>
    <w:rsid w:val="0069436B"/>
    <w:rsid w:val="006A0DFA"/>
    <w:rsid w:val="006A1ED7"/>
    <w:rsid w:val="006A39F5"/>
    <w:rsid w:val="006C3C19"/>
    <w:rsid w:val="006C3CA7"/>
    <w:rsid w:val="006C4326"/>
    <w:rsid w:val="006D2E86"/>
    <w:rsid w:val="006E2DF7"/>
    <w:rsid w:val="006F58C2"/>
    <w:rsid w:val="00734F5D"/>
    <w:rsid w:val="007362D5"/>
    <w:rsid w:val="007663AD"/>
    <w:rsid w:val="0077564D"/>
    <w:rsid w:val="007A3310"/>
    <w:rsid w:val="007C0F8A"/>
    <w:rsid w:val="007E00BD"/>
    <w:rsid w:val="007F478C"/>
    <w:rsid w:val="008052F7"/>
    <w:rsid w:val="00813C43"/>
    <w:rsid w:val="0081612E"/>
    <w:rsid w:val="00834FCC"/>
    <w:rsid w:val="00837063"/>
    <w:rsid w:val="0085254A"/>
    <w:rsid w:val="008526DD"/>
    <w:rsid w:val="00865BD0"/>
    <w:rsid w:val="008832F8"/>
    <w:rsid w:val="00886315"/>
    <w:rsid w:val="008A398D"/>
    <w:rsid w:val="008B2B46"/>
    <w:rsid w:val="008B652D"/>
    <w:rsid w:val="008D3C99"/>
    <w:rsid w:val="008D74DE"/>
    <w:rsid w:val="008F2675"/>
    <w:rsid w:val="00942CE7"/>
    <w:rsid w:val="009431D8"/>
    <w:rsid w:val="0095455E"/>
    <w:rsid w:val="009A3155"/>
    <w:rsid w:val="009F1079"/>
    <w:rsid w:val="009F12BE"/>
    <w:rsid w:val="00A20619"/>
    <w:rsid w:val="00A2531E"/>
    <w:rsid w:val="00A44B1D"/>
    <w:rsid w:val="00A9150B"/>
    <w:rsid w:val="00A9582A"/>
    <w:rsid w:val="00A96B5B"/>
    <w:rsid w:val="00AB4A2D"/>
    <w:rsid w:val="00AC467A"/>
    <w:rsid w:val="00AC4923"/>
    <w:rsid w:val="00AD06BB"/>
    <w:rsid w:val="00AD072A"/>
    <w:rsid w:val="00B01CAB"/>
    <w:rsid w:val="00B27091"/>
    <w:rsid w:val="00B32F44"/>
    <w:rsid w:val="00B52B7E"/>
    <w:rsid w:val="00B600C0"/>
    <w:rsid w:val="00B61320"/>
    <w:rsid w:val="00B64518"/>
    <w:rsid w:val="00B81B13"/>
    <w:rsid w:val="00B84E9E"/>
    <w:rsid w:val="00B93A47"/>
    <w:rsid w:val="00B95C19"/>
    <w:rsid w:val="00BB45F3"/>
    <w:rsid w:val="00BB563C"/>
    <w:rsid w:val="00BB6980"/>
    <w:rsid w:val="00BF1151"/>
    <w:rsid w:val="00BF5710"/>
    <w:rsid w:val="00C837F1"/>
    <w:rsid w:val="00CB25D8"/>
    <w:rsid w:val="00CB269F"/>
    <w:rsid w:val="00CB377F"/>
    <w:rsid w:val="00CD3456"/>
    <w:rsid w:val="00CD63D0"/>
    <w:rsid w:val="00D03262"/>
    <w:rsid w:val="00D20C33"/>
    <w:rsid w:val="00D25A72"/>
    <w:rsid w:val="00D369FF"/>
    <w:rsid w:val="00D42E27"/>
    <w:rsid w:val="00D45D2D"/>
    <w:rsid w:val="00D578C6"/>
    <w:rsid w:val="00D70C61"/>
    <w:rsid w:val="00DA00A1"/>
    <w:rsid w:val="00DC1CD7"/>
    <w:rsid w:val="00DC4443"/>
    <w:rsid w:val="00DD3E8E"/>
    <w:rsid w:val="00DE3827"/>
    <w:rsid w:val="00E461C5"/>
    <w:rsid w:val="00E57802"/>
    <w:rsid w:val="00E63E55"/>
    <w:rsid w:val="00E81DB6"/>
    <w:rsid w:val="00E926A8"/>
    <w:rsid w:val="00EA1ED4"/>
    <w:rsid w:val="00ED4C5B"/>
    <w:rsid w:val="00ED570E"/>
    <w:rsid w:val="00ED5938"/>
    <w:rsid w:val="00EF4E4E"/>
    <w:rsid w:val="00EF7D7E"/>
    <w:rsid w:val="00F55035"/>
    <w:rsid w:val="00F71930"/>
    <w:rsid w:val="00F73473"/>
    <w:rsid w:val="00FE4A1C"/>
    <w:rsid w:val="25E800DF"/>
    <w:rsid w:val="3A537EC3"/>
    <w:rsid w:val="3C82FD8A"/>
    <w:rsid w:val="4172374F"/>
    <w:rsid w:val="42F4B899"/>
    <w:rsid w:val="6AF50113"/>
    <w:rsid w:val="76FCA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C5ACF1B"/>
  <w15:chartTrackingRefBased/>
  <w15:docId w15:val="{6BAC1BD3-B1C5-4BFC-BA56-87673FE8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CD7"/>
    <w:pPr>
      <w:autoSpaceDE w:val="0"/>
      <w:autoSpaceDN w:val="0"/>
      <w:adjustRightInd w:val="0"/>
    </w:pPr>
  </w:style>
  <w:style w:type="paragraph" w:styleId="Heading3">
    <w:name w:val="heading 3"/>
    <w:basedOn w:val="Normal"/>
    <w:qFormat/>
    <w:rsid w:val="00DC1CD7"/>
    <w:pPr>
      <w:autoSpaceDE/>
      <w:autoSpaceDN/>
      <w:adjustRightInd/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1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15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8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E27"/>
    <w:pPr>
      <w:ind w:left="720"/>
      <w:contextualSpacing/>
    </w:pPr>
  </w:style>
  <w:style w:type="character" w:styleId="CommentReference">
    <w:name w:val="annotation reference"/>
    <w:basedOn w:val="DefaultParagraphFont"/>
    <w:uiPriority w:val="9"/>
    <w:rsid w:val="002C43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3AE"/>
  </w:style>
  <w:style w:type="character" w:customStyle="1" w:styleId="CommentTextChar">
    <w:name w:val="Comment Text Char"/>
    <w:basedOn w:val="DefaultParagraphFont"/>
    <w:link w:val="CommentText"/>
    <w:rsid w:val="002C43AE"/>
  </w:style>
  <w:style w:type="paragraph" w:styleId="CommentSubject">
    <w:name w:val="annotation subject"/>
    <w:basedOn w:val="CommentText"/>
    <w:next w:val="CommentText"/>
    <w:link w:val="CommentSubjectChar"/>
    <w:rsid w:val="002C4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43AE"/>
    <w:rPr>
      <w:b/>
      <w:bCs/>
    </w:rPr>
  </w:style>
  <w:style w:type="paragraph" w:styleId="Header">
    <w:name w:val="header"/>
    <w:basedOn w:val="Normal"/>
    <w:link w:val="HeaderChar"/>
    <w:rsid w:val="00694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436B"/>
  </w:style>
  <w:style w:type="paragraph" w:styleId="Footer">
    <w:name w:val="footer"/>
    <w:basedOn w:val="Normal"/>
    <w:link w:val="FooterChar"/>
    <w:rsid w:val="00694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436B"/>
  </w:style>
  <w:style w:type="paragraph" w:styleId="FootnoteText">
    <w:name w:val="footnote text"/>
    <w:basedOn w:val="Normal"/>
    <w:link w:val="FootnoteTextChar"/>
    <w:rsid w:val="00AB4A2D"/>
  </w:style>
  <w:style w:type="character" w:customStyle="1" w:styleId="FootnoteTextChar">
    <w:name w:val="Footnote Text Char"/>
    <w:basedOn w:val="DefaultParagraphFont"/>
    <w:link w:val="FootnoteText"/>
    <w:rsid w:val="00AB4A2D"/>
  </w:style>
  <w:style w:type="character" w:styleId="FootnoteReference">
    <w:name w:val="footnote reference"/>
    <w:basedOn w:val="DefaultParagraphFont"/>
    <w:rsid w:val="00AB4A2D"/>
    <w:rPr>
      <w:vertAlign w:val="superscript"/>
    </w:rPr>
  </w:style>
  <w:style w:type="paragraph" w:styleId="BodyText">
    <w:name w:val="Body Text"/>
    <w:aliases w:val="Body (RF)"/>
    <w:basedOn w:val="Normal"/>
    <w:link w:val="BodyTextChar"/>
    <w:rsid w:val="00A2531E"/>
    <w:pPr>
      <w:autoSpaceDE/>
      <w:autoSpaceDN/>
      <w:adjustRightInd/>
      <w:spacing w:after="200" w:line="280" w:lineRule="exact"/>
      <w:jc w:val="both"/>
    </w:pPr>
    <w:rPr>
      <w:rFonts w:ascii="Arial" w:hAnsi="Arial"/>
      <w:bCs/>
      <w:sz w:val="22"/>
      <w:szCs w:val="24"/>
      <w:lang w:val="en-GB"/>
    </w:rPr>
  </w:style>
  <w:style w:type="character" w:customStyle="1" w:styleId="BodyTextChar">
    <w:name w:val="Body Text Char"/>
    <w:aliases w:val="Body (RF) Char"/>
    <w:basedOn w:val="DefaultParagraphFont"/>
    <w:link w:val="BodyText"/>
    <w:rsid w:val="00A2531E"/>
    <w:rPr>
      <w:rFonts w:ascii="Arial" w:hAnsi="Arial"/>
      <w:bCs/>
      <w:sz w:val="22"/>
      <w:szCs w:val="24"/>
      <w:lang w:val="en-GB"/>
    </w:rPr>
  </w:style>
  <w:style w:type="character" w:styleId="Hyperlink">
    <w:name w:val="Hyperlink"/>
    <w:basedOn w:val="DefaultParagraphFont"/>
    <w:rsid w:val="00446A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F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.ca.gov/planning/sip/si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hannon.hatcher@arb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samani.kalandiyur@arb.ca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92FBAE69DA74189FB679AE803FA59" ma:contentTypeVersion="30" ma:contentTypeDescription="Create a new document." ma:contentTypeScope="" ma:versionID="69262ccba60e6deecb0608d797238781">
  <xsd:schema xmlns:xsd="http://www.w3.org/2001/XMLSchema" xmlns:xs="http://www.w3.org/2001/XMLSchema" xmlns:p="http://schemas.microsoft.com/office/2006/metadata/properties" xmlns:ns2="159fb932-9249-45de-8d41-34a4d7fa3896" xmlns:ns3="5eb09cca-8fce-4c74-8cf5-8eed0c01c3e7" xmlns:ns4="91232de1-227f-4c14-978c-2f3c9e1ebfb3" targetNamespace="http://schemas.microsoft.com/office/2006/metadata/properties" ma:root="true" ma:fieldsID="49563ae424611ead06a05e7c788e4bd8" ns2:_="" ns3:_="" ns4:_="">
    <xsd:import namespace="159fb932-9249-45de-8d41-34a4d7fa3896"/>
    <xsd:import namespace="5eb09cca-8fce-4c74-8cf5-8eed0c01c3e7"/>
    <xsd:import namespace="91232de1-227f-4c14-978c-2f3c9e1ebfb3"/>
    <xsd:element name="properties">
      <xsd:complexType>
        <xsd:sequence>
          <xsd:element name="documentManagement">
            <xsd:complexType>
              <xsd:all>
                <xsd:element ref="ns2:kfea6008a02d42a09443e0cd384f46e0" minOccurs="0"/>
                <xsd:element ref="ns3:TaxCatchAll" minOccurs="0"/>
                <xsd:element ref="ns2:SubjectArea" minOccurs="0"/>
                <xsd:element ref="ns2:SubjectArea_x003a_ID" minOccurs="0"/>
                <xsd:element ref="ns2:k2ef65fb693c4d5fbb5b113210f22731" minOccurs="0"/>
                <xsd:element ref="ns2:MeetingDate" minOccurs="0"/>
                <xsd:element ref="ns2:Description0" minOccurs="0"/>
                <xsd:element ref="ns2:jd753629051f49b98138c6779f316db8" minOccurs="0"/>
                <xsd:element ref="ns2:n5b87a3a92cc49e3b25ac7e82d2d3b35" minOccurs="0"/>
                <xsd:element ref="ns2:SubjectArea_x003a_CommitteeName" minOccurs="0"/>
                <xsd:element ref="ns3:TaxKeywordTaxHTField" minOccurs="0"/>
                <xsd:element ref="ns4:Video_x0020_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fb932-9249-45de-8d41-34a4d7fa3896" elementFormDefault="qualified">
    <xsd:import namespace="http://schemas.microsoft.com/office/2006/documentManagement/types"/>
    <xsd:import namespace="http://schemas.microsoft.com/office/infopath/2007/PartnerControls"/>
    <xsd:element name="kfea6008a02d42a09443e0cd384f46e0" ma:index="9" nillable="true" ma:taxonomy="true" ma:internalName="kfea6008a02d42a09443e0cd384f46e0" ma:taxonomyFieldName="Category" ma:displayName="Category" ma:readOnly="false" ma:default="" ma:fieldId="{4fea6008-a02d-42a0-9443-e0cd384f46e0}" ma:sspId="49e4e2da-9ee1-4b14-9d95-0e175eab5dac" ma:termSetId="84de2228-166e-4c06-9ed1-5252a79c5c0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jectArea" ma:index="11" nillable="true" ma:displayName="SubjectArea" ma:list="{11cba3b3-d692-4bbb-bcf2-da06f34ea8d5}" ma:internalName="SubjectArea" ma:showField="Committee_x0020_Acronym" ma:web="b5ca19a7-1095-4757-82a8-1672ea343064">
      <xsd:simpleType>
        <xsd:restriction base="dms:Lookup"/>
      </xsd:simpleType>
    </xsd:element>
    <xsd:element name="SubjectArea_x003a_ID" ma:index="12" nillable="true" ma:displayName="SubjectArea:ID" ma:list="{11cba3b3-d692-4bbb-bcf2-da06f34ea8d5}" ma:internalName="SubjectArea_x003a_ID" ma:readOnly="true" ma:showField="ID" ma:web="b5ca19a7-1095-4757-82a8-1672ea343064">
      <xsd:simpleType>
        <xsd:restriction base="dms:Lookup"/>
      </xsd:simpleType>
    </xsd:element>
    <xsd:element name="k2ef65fb693c4d5fbb5b113210f22731" ma:index="14" nillable="true" ma:taxonomy="true" ma:internalName="k2ef65fb693c4d5fbb5b113210f22731" ma:taxonomyFieldName="Project" ma:displayName="Project" ma:readOnly="false" ma:default="" ma:fieldId="{42ef65fb-693c-4d5f-bb5b-113210f22731}" ma:sspId="49e4e2da-9ee1-4b14-9d95-0e175eab5dac" ma:termSetId="502255ef-dd9d-4ee5-87e5-d1905f12802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etingDate" ma:index="15" nillable="true" ma:displayName="MeetingDate" ma:format="DateOnly" ma:internalName="MeetingDate">
      <xsd:simpleType>
        <xsd:restriction base="dms:DateTime"/>
      </xsd:simpleType>
    </xsd:element>
    <xsd:element name="Description0" ma:index="16" nillable="true" ma:displayName="Description" ma:hidden="true" ma:internalName="Description0" ma:readOnly="false">
      <xsd:simpleType>
        <xsd:restriction base="dms:Note"/>
      </xsd:simpleType>
    </xsd:element>
    <xsd:element name="jd753629051f49b98138c6779f316db8" ma:index="18" nillable="true" ma:taxonomy="true" ma:internalName="jd753629051f49b98138c6779f316db8" ma:taxonomyFieldName="Author0" ma:displayName="Author" ma:readOnly="false" ma:default="7;#SCAG internal|81da7dd9-d682-4f3d-bfb6-6fa23ac2a335" ma:fieldId="{3d753629-051f-49b9-8138-c6779f316db8}" ma:sspId="49e4e2da-9ee1-4b14-9d95-0e175eab5dac" ma:termSetId="38c90bf4-06a6-4197-a793-f010aab3249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5b87a3a92cc49e3b25ac7e82d2d3b35" ma:index="20" nillable="true" ma:taxonomy="true" ma:internalName="n5b87a3a92cc49e3b25ac7e82d2d3b35" ma:taxonomyFieldName="Source" ma:displayName="Source" ma:readOnly="false" ma:default="8;#SCAG|ddc36dd2-8acc-4908-9c20-f9d948f30810" ma:fieldId="{75b87a3a-92cc-49e3-b25a-c7e82d2d3b35}" ma:sspId="49e4e2da-9ee1-4b14-9d95-0e175eab5dac" ma:termSetId="132bc6c5-8b48-43ee-a390-57911590c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jectArea_x003a_CommitteeName" ma:index="21" nillable="true" ma:displayName="Committee" ma:list="{11cba3b3-d692-4bbb-bcf2-da06f34ea8d5}" ma:internalName="SubjectArea_x003a_CommitteeName" ma:readOnly="true" ma:showField="Title" ma:web="b5ca19a7-1095-4757-82a8-1672ea34306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9cca-8fce-4c74-8cf5-8eed0c01c3e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62e5f5-27dc-46c0-b9b2-0d9712335542}" ma:internalName="TaxCatchAll" ma:showField="CatchAllData" ma:web="df27322b-595e-4f13-8df8-41b0f66b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Keywords" ma:readOnly="false" ma:fieldId="{23f27201-bee3-471e-b2e7-b64fd8b7ca38}" ma:taxonomyMulti="true" ma:sspId="4a064de2-cdb9-437f-b488-ee84ec814aa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32de1-227f-4c14-978c-2f3c9e1ebfb3" elementFormDefault="qualified">
    <xsd:import namespace="http://schemas.microsoft.com/office/2006/documentManagement/types"/>
    <xsd:import namespace="http://schemas.microsoft.com/office/infopath/2007/PartnerControls"/>
    <xsd:element name="Video_x0020_URL" ma:index="24" nillable="true" ma:displayName="Video URL" ma:description="URL to Granicus Video" ma:format="Hyperlink" ma:internalName="Video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2ef65fb693c4d5fbb5b113210f22731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TCWG</TermName>
          <TermId xmlns="http://schemas.microsoft.com/office/infopath/2007/PartnerControls">999ad1a1-dbd9-4ff2-9474-e31828607a74</TermId>
        </TermInfo>
      </Terms>
    </k2ef65fb693c4d5fbb5b113210f22731>
    <jd753629051f49b98138c6779f316db8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SCAG internal</TermName>
          <TermId xmlns="http://schemas.microsoft.com/office/infopath/2007/PartnerControls">81da7dd9-d682-4f3d-bfb6-6fa23ac2a335</TermId>
        </TermInfo>
      </Terms>
    </jd753629051f49b98138c6779f316db8>
    <TaxCatchAll xmlns="5eb09cca-8fce-4c74-8cf5-8eed0c01c3e7">
      <Value>1539</Value>
      <Value>1670</Value>
      <Value>864</Value>
      <Value>1299</Value>
      <Value>8</Value>
      <Value>7</Value>
      <Value>1662</Value>
      <Value>439</Value>
    </TaxCatchAll>
    <Video_x0020_URL xmlns="91232de1-227f-4c14-978c-2f3c9e1ebfb3">
      <Url xsi:nil="true"/>
      <Description xsi:nil="true"/>
    </Video_x0020_URL>
    <TaxKeywordTaxHTField xmlns="5eb09cca-8fce-4c74-8cf5-8eed0c01c3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TCWG</TermName>
          <TermId xmlns="http://schemas.microsoft.com/office/infopath/2007/PartnerControls">e5c20915-4252-44f1-ac55-217cd63e28b3</TermId>
        </TermInfo>
        <TermInfo xmlns="http://schemas.microsoft.com/office/infopath/2007/PartnerControls">
          <TermName xmlns="http://schemas.microsoft.com/office/infopath/2007/PartnerControls">South Coast</TermName>
          <TermId xmlns="http://schemas.microsoft.com/office/infopath/2007/PartnerControls">f1916d50-fa90-44b1-a25f-dc1ef2e7f3d0</TermId>
        </TermInfo>
        <TermInfo xmlns="http://schemas.microsoft.com/office/infopath/2007/PartnerControls">
          <TermName xmlns="http://schemas.microsoft.com/office/infopath/2007/PartnerControls">Ozone</TermName>
          <TermId xmlns="http://schemas.microsoft.com/office/infopath/2007/PartnerControls">20224c7d-d2c5-4292-a8dc-d1bfde873d3c</TermId>
        </TermInfo>
        <TermInfo xmlns="http://schemas.microsoft.com/office/infopath/2007/PartnerControls">
          <TermName xmlns="http://schemas.microsoft.com/office/infopath/2007/PartnerControls">conformity budget</TermName>
          <TermId xmlns="http://schemas.microsoft.com/office/infopath/2007/PartnerControls">dbf4e85f-b6f3-4b47-963e-92e91f6f1bb1</TermId>
        </TermInfo>
      </Terms>
    </TaxKeywordTaxHTField>
    <SubjectArea xmlns="159fb932-9249-45de-8d41-34a4d7fa3896">25</SubjectArea>
    <MeetingDate xmlns="159fb932-9249-45de-8d41-34a4d7fa3896">2018-09-25T07:00:00+00:00</MeetingDate>
    <kfea6008a02d42a09443e0cd384f46e0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Presentation</TermName>
          <TermId xmlns="http://schemas.microsoft.com/office/infopath/2007/PartnerControls">45d526fd-d16e-4161-99a1-984059e24530</TermId>
        </TermInfo>
      </Terms>
    </kfea6008a02d42a09443e0cd384f46e0>
    <Description0 xmlns="159fb932-9249-45de-8d41-34a4d7fa3896" xsi:nil="true"/>
    <n5b87a3a92cc49e3b25ac7e82d2d3b35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SCAG</TermName>
          <TermId xmlns="http://schemas.microsoft.com/office/infopath/2007/PartnerControls">ddc36dd2-8acc-4908-9c20-f9d948f30810</TermId>
        </TermInfo>
      </Terms>
    </n5b87a3a92cc49e3b25ac7e82d2d3b35>
  </documentManagement>
</p:properties>
</file>

<file path=customXml/itemProps1.xml><?xml version="1.0" encoding="utf-8"?>
<ds:datastoreItem xmlns:ds="http://schemas.openxmlformats.org/officeDocument/2006/customXml" ds:itemID="{A79C6C08-1235-4742-963B-4991EABE505E}"/>
</file>

<file path=customXml/itemProps2.xml><?xml version="1.0" encoding="utf-8"?>
<ds:datastoreItem xmlns:ds="http://schemas.openxmlformats.org/officeDocument/2006/customXml" ds:itemID="{3CB99569-9A66-4BFD-B9D1-9E32B9A6400E}"/>
</file>

<file path=customXml/itemProps3.xml><?xml version="1.0" encoding="utf-8"?>
<ds:datastoreItem xmlns:ds="http://schemas.openxmlformats.org/officeDocument/2006/customXml" ds:itemID="{9B500485-7BD7-44B6-B7D3-D9491DC0B922}"/>
</file>

<file path=customXml/itemProps4.xml><?xml version="1.0" encoding="utf-8"?>
<ds:datastoreItem xmlns:ds="http://schemas.openxmlformats.org/officeDocument/2006/customXml" ds:itemID="{6AA9755D-8927-4074-9A76-405B683A15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4</Pages>
  <Words>379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for Adequacy Review of SIP Submissions for Conformity</vt:lpstr>
    </vt:vector>
  </TitlesOfParts>
  <Company>EPA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25, 2018 TCWG Meeting Agenda Item 4.2 Checklist of Ozone Transportation Conformity Budgets - South Coast</dc:title>
  <dc:subject/>
  <dc:creator>alarsen</dc:creator>
  <cp:keywords>TCWG; conformity budget; South Coast; Ozone</cp:keywords>
  <dc:description/>
  <cp:lastModifiedBy>Kalandiyur, Nesamani@ARB</cp:lastModifiedBy>
  <cp:revision>54</cp:revision>
  <dcterms:created xsi:type="dcterms:W3CDTF">2018-08-14T23:22:00Z</dcterms:created>
  <dcterms:modified xsi:type="dcterms:W3CDTF">2018-09-20T23:48:00Z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0x010100A0E92FBAE69DA74189FB679AE803FA59</vt:lpwstr>
  </property>
  <property fmtid="{D5CDD505-2E9C-101B-9397-08002B2CF9AE}" pid="3" name="Project">
    <vt:lpwstr>1299;#TCWG|999ad1a1-dbd9-4ff2-9474-e31828607a74</vt:lpwstr>
  </property>
  <property fmtid="{D5CDD505-2E9C-101B-9397-08002B2CF9AE}" pid="4" name="TaxKeyword">
    <vt:lpwstr>1539;#TCWG|e5c20915-4252-44f1-ac55-217cd63e28b3;#1670;#South Coast|f1916d50-fa90-44b1-a25f-dc1ef2e7f3d0;#864;#Ozone|20224c7d-d2c5-4292-a8dc-d1bfde873d3c;#1662;#conformity budget|dbf4e85f-b6f3-4b47-963e-92e91f6f1bb1</vt:lpwstr>
  </property>
  <property fmtid="{D5CDD505-2E9C-101B-9397-08002B2CF9AE}" pid="5" name="Category">
    <vt:lpwstr>439;#Presentation|45d526fd-d16e-4161-99a1-984059e24530</vt:lpwstr>
  </property>
  <property fmtid="{D5CDD505-2E9C-101B-9397-08002B2CF9AE}" pid="6" name="Author0">
    <vt:lpwstr>7;#SCAG internal|81da7dd9-d682-4f3d-bfb6-6fa23ac2a335</vt:lpwstr>
  </property>
  <property fmtid="{D5CDD505-2E9C-101B-9397-08002B2CF9AE}" pid="7" name="Source">
    <vt:lpwstr>8;#SCAG|ddc36dd2-8acc-4908-9c20-f9d948f30810</vt:lpwstr>
  </property>
  <property fmtid="{D5CDD505-2E9C-101B-9397-08002B2CF9AE}" pid="8" name="Order">
    <vt:r8>177700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